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0B0D" w:rsidRPr="00383E91" w:rsidRDefault="00180B0D" w:rsidP="00180B0D">
      <w:pPr>
        <w:ind w:left="1843" w:right="1983"/>
        <w:jc w:val="both"/>
        <w:rPr>
          <w:rFonts w:ascii="Tahoma" w:hAnsi="Tahoma" w:cs="Tahoma"/>
          <w:i/>
          <w:sz w:val="23"/>
          <w:szCs w:val="23"/>
        </w:rPr>
      </w:pPr>
      <w:r w:rsidRPr="00383E91">
        <w:rPr>
          <w:rFonts w:ascii="Tahoma" w:hAnsi="Tahoma" w:cs="Tahoma"/>
          <w:b/>
          <w:i/>
          <w:sz w:val="23"/>
          <w:szCs w:val="23"/>
        </w:rPr>
        <w:t>Sumilla   :</w:t>
      </w:r>
      <w:r w:rsidRPr="00383E91">
        <w:rPr>
          <w:rFonts w:ascii="Tahoma" w:hAnsi="Tahoma" w:cs="Tahoma"/>
          <w:i/>
          <w:sz w:val="23"/>
          <w:szCs w:val="23"/>
        </w:rPr>
        <w:t xml:space="preserve"> </w:t>
      </w:r>
      <w:r w:rsidRPr="00383E91">
        <w:rPr>
          <w:rFonts w:ascii="Tahoma" w:hAnsi="Tahoma" w:cs="Tahoma"/>
          <w:i/>
          <w:sz w:val="23"/>
          <w:szCs w:val="23"/>
        </w:rPr>
        <w:tab/>
        <w:t>“Es pasible de sanción el postor que presenta documentos falsos a la Entidad, entendiéndose por tales aquellos que no hayan sido expedidos por su emisor o que, siendo válidamente emitidos, hayan sido adulterados en su forma o contenido, independientemente de quién haya sido su autor o de las circunstancias que condujeron a su falsificación.”</w:t>
      </w:r>
    </w:p>
    <w:p w:rsidR="00180B0D" w:rsidRPr="00383E91" w:rsidRDefault="00180B0D" w:rsidP="00180B0D">
      <w:pPr>
        <w:pStyle w:val="Textoindependiente3"/>
        <w:spacing w:after="0"/>
        <w:rPr>
          <w:rFonts w:ascii="Tahoma" w:hAnsi="Tahoma" w:cs="Tahoma"/>
          <w:i/>
          <w:sz w:val="23"/>
          <w:szCs w:val="23"/>
          <w:lang w:val="es-ES"/>
        </w:rPr>
      </w:pPr>
    </w:p>
    <w:p w:rsidR="00180B0D" w:rsidRPr="00383E91" w:rsidRDefault="00180B0D" w:rsidP="00180B0D">
      <w:pPr>
        <w:pStyle w:val="Textoindependiente3"/>
        <w:spacing w:after="0"/>
        <w:ind w:left="5387"/>
        <w:jc w:val="both"/>
        <w:rPr>
          <w:rFonts w:ascii="Tahoma" w:hAnsi="Tahoma" w:cs="Tahoma"/>
          <w:b/>
          <w:sz w:val="23"/>
          <w:szCs w:val="23"/>
        </w:rPr>
      </w:pPr>
      <w:r w:rsidRPr="00383E91">
        <w:rPr>
          <w:rFonts w:ascii="Tahoma" w:hAnsi="Tahoma" w:cs="Tahoma"/>
          <w:b/>
          <w:sz w:val="23"/>
          <w:szCs w:val="23"/>
        </w:rPr>
        <w:t>Lima,</w:t>
      </w:r>
      <w:r w:rsidR="00D84730">
        <w:rPr>
          <w:rFonts w:ascii="Tahoma" w:hAnsi="Tahoma" w:cs="Tahoma"/>
          <w:b/>
          <w:sz w:val="23"/>
          <w:szCs w:val="23"/>
        </w:rPr>
        <w:t xml:space="preserve"> 27 de Abril de 2011</w:t>
      </w:r>
    </w:p>
    <w:p w:rsidR="00180B0D" w:rsidRPr="00383E91" w:rsidRDefault="00180B0D" w:rsidP="00180B0D">
      <w:pPr>
        <w:pStyle w:val="Textoindependiente3"/>
        <w:spacing w:after="0"/>
        <w:ind w:left="5387"/>
        <w:jc w:val="both"/>
        <w:rPr>
          <w:rFonts w:ascii="Tahoma" w:hAnsi="Tahoma" w:cs="Tahoma"/>
          <w:b/>
          <w:sz w:val="23"/>
          <w:szCs w:val="23"/>
        </w:rPr>
      </w:pPr>
    </w:p>
    <w:p w:rsidR="00180B0D" w:rsidRPr="00383E91" w:rsidRDefault="00180B0D" w:rsidP="00180B0D">
      <w:pPr>
        <w:ind w:firstLine="567"/>
        <w:contextualSpacing/>
        <w:jc w:val="both"/>
        <w:rPr>
          <w:rFonts w:ascii="Tahoma" w:hAnsi="Tahoma" w:cs="Tahoma"/>
          <w:sz w:val="23"/>
          <w:szCs w:val="23"/>
        </w:rPr>
      </w:pPr>
      <w:r w:rsidRPr="00383E91">
        <w:rPr>
          <w:rFonts w:ascii="Tahoma" w:hAnsi="Tahoma" w:cs="Tahoma"/>
          <w:b/>
          <w:sz w:val="23"/>
          <w:szCs w:val="23"/>
        </w:rPr>
        <w:t xml:space="preserve">Visto </w:t>
      </w:r>
      <w:r w:rsidRPr="00383E91">
        <w:rPr>
          <w:rFonts w:ascii="Tahoma" w:hAnsi="Tahoma" w:cs="Tahoma"/>
          <w:sz w:val="23"/>
          <w:szCs w:val="23"/>
        </w:rPr>
        <w:t>en sesión de fecha 27 de abril de 2011 la Primera Sala del Tribunal de Contrataciones del Estado el Expediente N° 08.2011-TC; sobre el procedimiento administrativo sancionador iniciado contra la empresa NTP. NEW TECHNOLOGY PRODUCTS S.R.LTDA.,</w:t>
      </w:r>
      <w:r w:rsidRPr="00383E91">
        <w:rPr>
          <w:rFonts w:ascii="Tahoma" w:eastAsia="MS Mincho" w:hAnsi="Tahoma" w:cs="Tahoma"/>
          <w:sz w:val="23"/>
          <w:szCs w:val="23"/>
        </w:rPr>
        <w:t xml:space="preserve"> </w:t>
      </w:r>
      <w:r w:rsidRPr="00383E91">
        <w:rPr>
          <w:rFonts w:ascii="Tahoma" w:hAnsi="Tahoma" w:cs="Tahoma"/>
          <w:sz w:val="23"/>
          <w:szCs w:val="23"/>
        </w:rPr>
        <w:t>por su supuesta responsabilidad al haber incluido, como parte de su propuesta técnica, documentos falsos o inexactos, presentados en la Adjudicación de Menor Cuantía Nº 028-2010-ZRLIMA (Derivada de la Adjudicación Directa Selectiva Nº 020-2010-ZRLIMA).</w:t>
      </w:r>
    </w:p>
    <w:p w:rsidR="00180B0D" w:rsidRPr="00383E91" w:rsidRDefault="00180B0D" w:rsidP="00180B0D">
      <w:pPr>
        <w:ind w:firstLine="567"/>
        <w:contextualSpacing/>
        <w:jc w:val="both"/>
        <w:rPr>
          <w:rFonts w:ascii="Tahoma" w:hAnsi="Tahoma" w:cs="Tahoma"/>
          <w:b/>
          <w:sz w:val="23"/>
          <w:szCs w:val="23"/>
          <w:lang w:val="es-ES_tradnl"/>
        </w:rPr>
      </w:pPr>
    </w:p>
    <w:p w:rsidR="00180B0D" w:rsidRPr="00383E91" w:rsidRDefault="00180B0D" w:rsidP="00180B0D">
      <w:pPr>
        <w:pStyle w:val="Prrafodelista"/>
        <w:numPr>
          <w:ilvl w:val="0"/>
          <w:numId w:val="1"/>
        </w:numPr>
        <w:ind w:left="567" w:hanging="425"/>
        <w:rPr>
          <w:rFonts w:ascii="Tahoma" w:hAnsi="Tahoma" w:cs="Tahoma"/>
          <w:b/>
          <w:sz w:val="23"/>
          <w:szCs w:val="23"/>
        </w:rPr>
      </w:pPr>
      <w:r w:rsidRPr="00383E91">
        <w:rPr>
          <w:rFonts w:ascii="Tahoma" w:hAnsi="Tahoma" w:cs="Tahoma"/>
          <w:b/>
          <w:sz w:val="23"/>
          <w:szCs w:val="23"/>
        </w:rPr>
        <w:t>ANTECEDENTES:</w:t>
      </w:r>
    </w:p>
    <w:p w:rsidR="00180B0D" w:rsidRPr="00383E91" w:rsidRDefault="00180B0D" w:rsidP="00180B0D">
      <w:pPr>
        <w:jc w:val="both"/>
        <w:rPr>
          <w:rFonts w:ascii="Tahoma" w:hAnsi="Tahoma" w:cs="Tahoma"/>
          <w:b/>
          <w:sz w:val="23"/>
          <w:szCs w:val="23"/>
          <w:lang w:eastAsia="es-PE"/>
        </w:rPr>
      </w:pPr>
    </w:p>
    <w:p w:rsidR="00180B0D" w:rsidRPr="00383E91" w:rsidRDefault="00180B0D" w:rsidP="00180B0D">
      <w:pPr>
        <w:pStyle w:val="Prrafodelista"/>
        <w:widowControl/>
        <w:numPr>
          <w:ilvl w:val="0"/>
          <w:numId w:val="5"/>
        </w:numPr>
        <w:suppressAutoHyphens w:val="0"/>
        <w:ind w:left="567" w:hanging="567"/>
        <w:contextualSpacing/>
        <w:jc w:val="both"/>
        <w:rPr>
          <w:rFonts w:ascii="Tahoma" w:hAnsi="Tahoma" w:cs="Tahoma"/>
          <w:sz w:val="23"/>
          <w:szCs w:val="23"/>
        </w:rPr>
      </w:pPr>
      <w:r w:rsidRPr="00383E91">
        <w:rPr>
          <w:rFonts w:ascii="Tahoma" w:hAnsi="Tahoma" w:cs="Tahoma"/>
          <w:sz w:val="23"/>
          <w:szCs w:val="23"/>
        </w:rPr>
        <w:t xml:space="preserve">El 13 de agosto del 2010, la </w:t>
      </w:r>
      <w:r w:rsidRPr="00383E91">
        <w:rPr>
          <w:rFonts w:ascii="Tahoma" w:hAnsi="Tahoma" w:cs="Tahoma"/>
          <w:sz w:val="23"/>
          <w:szCs w:val="23"/>
          <w:lang w:val="pt-BR"/>
        </w:rPr>
        <w:t>ZONA REGISTRAL Nº IX – SEDE LIMA</w:t>
      </w:r>
      <w:r w:rsidRPr="00383E91">
        <w:rPr>
          <w:rFonts w:ascii="Tahoma" w:hAnsi="Tahoma" w:cs="Tahoma"/>
          <w:sz w:val="23"/>
          <w:szCs w:val="23"/>
        </w:rPr>
        <w:t>, en adelante la Entidad, convocó la Adjudicación de Menor Cuantía Nº 028-2010-ZRLIMA (Derivada de la Adjudicación Directa Selectiva Nº 020-2010-ZRLIMA), por un valor referencial ascendente a S/. 65,450.00 (Sesenta y cinco mil cuatrocientos cincuenta con 00/100 Nuevos Soles).</w:t>
      </w:r>
    </w:p>
    <w:p w:rsidR="00180B0D" w:rsidRPr="00383E91" w:rsidRDefault="00180B0D" w:rsidP="00180B0D">
      <w:pPr>
        <w:pStyle w:val="Prrafodelista"/>
        <w:ind w:left="567"/>
        <w:contextualSpacing/>
        <w:jc w:val="both"/>
        <w:rPr>
          <w:rFonts w:ascii="Tahoma" w:hAnsi="Tahoma" w:cs="Tahoma"/>
          <w:sz w:val="23"/>
          <w:szCs w:val="23"/>
        </w:rPr>
      </w:pPr>
    </w:p>
    <w:p w:rsidR="00180B0D" w:rsidRPr="00383E91" w:rsidRDefault="00180B0D" w:rsidP="00180B0D">
      <w:pPr>
        <w:pStyle w:val="Prrafodelista"/>
        <w:widowControl/>
        <w:numPr>
          <w:ilvl w:val="0"/>
          <w:numId w:val="5"/>
        </w:numPr>
        <w:suppressAutoHyphens w:val="0"/>
        <w:ind w:left="567" w:hanging="567"/>
        <w:contextualSpacing/>
        <w:jc w:val="both"/>
        <w:rPr>
          <w:rFonts w:ascii="Tahoma" w:hAnsi="Tahoma" w:cs="Tahoma"/>
          <w:sz w:val="23"/>
          <w:szCs w:val="23"/>
        </w:rPr>
      </w:pPr>
      <w:r w:rsidRPr="00383E91">
        <w:rPr>
          <w:rFonts w:ascii="Tahoma" w:hAnsi="Tahoma" w:cs="Tahoma"/>
          <w:sz w:val="23"/>
          <w:szCs w:val="23"/>
        </w:rPr>
        <w:t xml:space="preserve">Con fecha 31 de agosto del 2010, tuvo lugar el acto de otorgamiento de la Buena Pro, el mismo que fue adjudicada a favor de la empresa </w:t>
      </w:r>
      <w:r w:rsidRPr="00383E91">
        <w:rPr>
          <w:rFonts w:ascii="Tahoma" w:hAnsi="Tahoma" w:cs="Tahoma"/>
          <w:sz w:val="23"/>
          <w:szCs w:val="23"/>
          <w:lang w:val="es-ES"/>
        </w:rPr>
        <w:t>NTP. NEW TECHNOLOGY PRODUCTS S.R.LTDA.</w:t>
      </w:r>
      <w:r w:rsidRPr="00383E91">
        <w:rPr>
          <w:rFonts w:ascii="Tahoma" w:hAnsi="Tahoma" w:cs="Tahoma"/>
          <w:sz w:val="23"/>
          <w:szCs w:val="23"/>
        </w:rPr>
        <w:t>, en adelante el Postor.</w:t>
      </w:r>
    </w:p>
    <w:p w:rsidR="00180B0D" w:rsidRPr="00383E91" w:rsidRDefault="00180B0D" w:rsidP="00180B0D">
      <w:pPr>
        <w:pStyle w:val="Prrafodelista"/>
        <w:rPr>
          <w:rFonts w:ascii="Tahoma" w:hAnsi="Tahoma" w:cs="Tahoma"/>
          <w:sz w:val="23"/>
          <w:szCs w:val="23"/>
        </w:rPr>
      </w:pPr>
    </w:p>
    <w:p w:rsidR="00180B0D" w:rsidRPr="00383E91" w:rsidRDefault="00180B0D" w:rsidP="00180B0D">
      <w:pPr>
        <w:pStyle w:val="Prrafodelista"/>
        <w:widowControl/>
        <w:numPr>
          <w:ilvl w:val="0"/>
          <w:numId w:val="5"/>
        </w:numPr>
        <w:suppressAutoHyphens w:val="0"/>
        <w:ind w:left="567" w:hanging="567"/>
        <w:contextualSpacing/>
        <w:jc w:val="both"/>
        <w:rPr>
          <w:rFonts w:ascii="Tahoma" w:hAnsi="Tahoma" w:cs="Tahoma"/>
          <w:sz w:val="23"/>
          <w:szCs w:val="23"/>
        </w:rPr>
      </w:pPr>
      <w:r w:rsidRPr="00383E91">
        <w:rPr>
          <w:rFonts w:ascii="Tahoma" w:hAnsi="Tahoma" w:cs="Tahoma"/>
          <w:sz w:val="23"/>
          <w:szCs w:val="23"/>
        </w:rPr>
        <w:t>A través del Oficio Nº 763-2010-SUNARP-Z.R.NºIX GAF/SLS de fecha 10 de noviembre del 2010, la Entidad solicitó a la Empresa Siderúrgica del Perú S.A. que confirmen la veracidad y autenticidad de la Factura 001 Nº 0008028 de fecha 01 de noviembre del 2006 y el CERTIFICADO DE CONFORMIDAD DE CALIDAD DEL BIEN de la entrega de los bienes detallados en dicha factura, documentos que fueron presentados por el Postor como parte de su propuesta técnica, en el proceso de selección Adjudicación de Menor Cuantía Nº 028-2010-ZRLIMA.</w:t>
      </w:r>
    </w:p>
    <w:p w:rsidR="00180B0D" w:rsidRPr="00383E91" w:rsidRDefault="00180B0D" w:rsidP="00180B0D">
      <w:pPr>
        <w:pStyle w:val="Prrafodelista"/>
        <w:rPr>
          <w:rFonts w:ascii="Tahoma" w:hAnsi="Tahoma" w:cs="Tahoma"/>
          <w:sz w:val="23"/>
          <w:szCs w:val="23"/>
        </w:rPr>
      </w:pPr>
    </w:p>
    <w:p w:rsidR="00180B0D" w:rsidRPr="00383E91" w:rsidRDefault="00180B0D" w:rsidP="00180B0D">
      <w:pPr>
        <w:pStyle w:val="Prrafodelista"/>
        <w:widowControl/>
        <w:numPr>
          <w:ilvl w:val="0"/>
          <w:numId w:val="5"/>
        </w:numPr>
        <w:suppressAutoHyphens w:val="0"/>
        <w:ind w:left="567" w:hanging="567"/>
        <w:contextualSpacing/>
        <w:jc w:val="both"/>
        <w:rPr>
          <w:rFonts w:ascii="Tahoma" w:hAnsi="Tahoma" w:cs="Tahoma"/>
          <w:sz w:val="23"/>
          <w:szCs w:val="23"/>
        </w:rPr>
      </w:pPr>
      <w:r w:rsidRPr="00383E91">
        <w:rPr>
          <w:rFonts w:ascii="Tahoma" w:hAnsi="Tahoma" w:cs="Tahoma"/>
          <w:sz w:val="23"/>
          <w:szCs w:val="23"/>
        </w:rPr>
        <w:t>Mediante escrito presentado el 17 de noviembre del 2010 ante la Entidad, la empresa Siderúrgica del Perú S.A. informó lo siguiente:</w:t>
      </w:r>
    </w:p>
    <w:p w:rsidR="00180B0D" w:rsidRPr="002B7ED0" w:rsidRDefault="00180B0D" w:rsidP="00180B0D">
      <w:pPr>
        <w:pStyle w:val="Prrafodelista"/>
        <w:rPr>
          <w:rFonts w:ascii="Tahoma" w:hAnsi="Tahoma" w:cs="Tahoma"/>
          <w:sz w:val="22"/>
          <w:szCs w:val="22"/>
        </w:rPr>
      </w:pPr>
    </w:p>
    <w:p w:rsidR="00180B0D" w:rsidRPr="002B7ED0" w:rsidRDefault="00180B0D" w:rsidP="00180B0D">
      <w:pPr>
        <w:pStyle w:val="Prrafodelista"/>
        <w:widowControl/>
        <w:numPr>
          <w:ilvl w:val="0"/>
          <w:numId w:val="6"/>
        </w:numPr>
        <w:suppressAutoHyphens w:val="0"/>
        <w:ind w:left="1560" w:right="566"/>
        <w:contextualSpacing/>
        <w:jc w:val="both"/>
        <w:rPr>
          <w:rFonts w:ascii="Tahoma" w:hAnsi="Tahoma" w:cs="Tahoma"/>
          <w:i/>
          <w:sz w:val="18"/>
          <w:szCs w:val="18"/>
        </w:rPr>
      </w:pPr>
      <w:r w:rsidRPr="002B7ED0">
        <w:rPr>
          <w:rFonts w:ascii="Tahoma" w:hAnsi="Tahoma" w:cs="Tahoma"/>
          <w:i/>
          <w:sz w:val="18"/>
          <w:szCs w:val="18"/>
        </w:rPr>
        <w:t>La factura Nº 001-0008028, de fecha 01 de noviembre de 2006, por la suma de US$ 17,121.72 (diecisiete mil ciento veintiuno con 72/100 Dólares Americanos), es verdadera y auténtica, la operación de compra y correspondientes transferencia y entrega del scanner 4500HP de dicha factura se realizaron y constituyeron operaciones reales: y.</w:t>
      </w:r>
    </w:p>
    <w:p w:rsidR="00180B0D" w:rsidRPr="002B7ED0" w:rsidRDefault="00180B0D" w:rsidP="00180B0D">
      <w:pPr>
        <w:pStyle w:val="Prrafodelista"/>
        <w:widowControl/>
        <w:suppressAutoHyphens w:val="0"/>
        <w:ind w:left="1560" w:right="566"/>
        <w:contextualSpacing/>
        <w:jc w:val="both"/>
        <w:rPr>
          <w:rFonts w:ascii="Tahoma" w:hAnsi="Tahoma" w:cs="Tahoma"/>
          <w:i/>
          <w:sz w:val="18"/>
          <w:szCs w:val="18"/>
        </w:rPr>
      </w:pPr>
    </w:p>
    <w:p w:rsidR="00180B0D" w:rsidRPr="002B7ED0" w:rsidRDefault="00180B0D" w:rsidP="00180B0D">
      <w:pPr>
        <w:pStyle w:val="Prrafodelista"/>
        <w:widowControl/>
        <w:numPr>
          <w:ilvl w:val="0"/>
          <w:numId w:val="6"/>
        </w:numPr>
        <w:suppressAutoHyphens w:val="0"/>
        <w:ind w:left="1560" w:right="566"/>
        <w:contextualSpacing/>
        <w:jc w:val="both"/>
        <w:rPr>
          <w:rFonts w:ascii="Tahoma" w:hAnsi="Tahoma" w:cs="Tahoma"/>
          <w:i/>
          <w:sz w:val="18"/>
          <w:szCs w:val="18"/>
        </w:rPr>
      </w:pPr>
      <w:r w:rsidRPr="002B7ED0">
        <w:rPr>
          <w:rFonts w:ascii="Tahoma" w:hAnsi="Tahoma" w:cs="Tahoma"/>
          <w:i/>
          <w:sz w:val="18"/>
          <w:szCs w:val="18"/>
        </w:rPr>
        <w:t>El denominado “Certificado de Conformidad de Calidad del Bien” no fue emitido ni suscrito por SIDERPERÚ”</w:t>
      </w:r>
    </w:p>
    <w:p w:rsidR="00180B0D" w:rsidRPr="004A0C30" w:rsidRDefault="00180B0D" w:rsidP="00180B0D">
      <w:pPr>
        <w:pStyle w:val="Prrafodelista"/>
        <w:rPr>
          <w:rFonts w:ascii="Tahoma" w:hAnsi="Tahoma" w:cs="Tahoma"/>
          <w:sz w:val="22"/>
          <w:szCs w:val="22"/>
        </w:rPr>
      </w:pPr>
    </w:p>
    <w:p w:rsidR="00180B0D" w:rsidRPr="00383E91" w:rsidRDefault="00180B0D" w:rsidP="00180B0D">
      <w:pPr>
        <w:pStyle w:val="Prrafodelista"/>
        <w:widowControl/>
        <w:numPr>
          <w:ilvl w:val="0"/>
          <w:numId w:val="5"/>
        </w:numPr>
        <w:suppressAutoHyphens w:val="0"/>
        <w:ind w:left="567" w:hanging="567"/>
        <w:contextualSpacing/>
        <w:jc w:val="both"/>
        <w:rPr>
          <w:rFonts w:ascii="Tahoma" w:hAnsi="Tahoma" w:cs="Tahoma"/>
          <w:sz w:val="23"/>
          <w:szCs w:val="23"/>
        </w:rPr>
      </w:pPr>
      <w:r w:rsidRPr="00383E91">
        <w:rPr>
          <w:rFonts w:ascii="Tahoma" w:hAnsi="Tahoma" w:cs="Tahoma"/>
          <w:sz w:val="23"/>
          <w:szCs w:val="23"/>
          <w:lang w:val="es-PE"/>
        </w:rPr>
        <w:t xml:space="preserve">A través del Oficio Nº 06-2010-SUNARP-Z.R.NºIX-GAF/JEF presentado el 05 de enero del 2011, la Entidad comunicó a este Tribunal que el Postor habría incurrido en responsabilidad administrativa al incluir, como parte de su propuesta técnica, el </w:t>
      </w:r>
      <w:r w:rsidRPr="00383E91">
        <w:rPr>
          <w:rFonts w:ascii="Tahoma" w:hAnsi="Tahoma" w:cs="Tahoma"/>
          <w:sz w:val="23"/>
          <w:szCs w:val="23"/>
        </w:rPr>
        <w:t>CERTIFICADO DE CONFORMIDAD DE CALIDAD DEL BIEN de la entrega de los bienes detallados en la Factura 001 Nº 0008028</w:t>
      </w:r>
      <w:r w:rsidRPr="00383E91">
        <w:rPr>
          <w:rFonts w:ascii="Tahoma" w:hAnsi="Tahoma" w:cs="Tahoma"/>
          <w:sz w:val="23"/>
          <w:szCs w:val="23"/>
          <w:lang w:val="es-PE"/>
        </w:rPr>
        <w:t xml:space="preserve">, aparentemente emitido por la empresa Siderúrgica del Perú SAA, presentado en </w:t>
      </w:r>
      <w:r w:rsidRPr="00383E91">
        <w:rPr>
          <w:rFonts w:ascii="Tahoma" w:hAnsi="Tahoma" w:cs="Tahoma"/>
          <w:sz w:val="23"/>
          <w:szCs w:val="23"/>
        </w:rPr>
        <w:t>la Adjudicación de Menor Cuantía Nº 028-2010-ZRLIMA (Derivada de la Adjudicación Directa Selectiva Nº 020-2010-ZRLIMA).</w:t>
      </w:r>
    </w:p>
    <w:p w:rsidR="00180B0D" w:rsidRPr="00383E91" w:rsidRDefault="00180B0D" w:rsidP="00180B0D">
      <w:pPr>
        <w:pStyle w:val="Prrafodelista"/>
        <w:widowControl/>
        <w:suppressAutoHyphens w:val="0"/>
        <w:ind w:left="567"/>
        <w:contextualSpacing/>
        <w:jc w:val="both"/>
        <w:rPr>
          <w:rFonts w:ascii="Tahoma" w:hAnsi="Tahoma" w:cs="Tahoma"/>
          <w:sz w:val="23"/>
          <w:szCs w:val="23"/>
        </w:rPr>
      </w:pPr>
    </w:p>
    <w:p w:rsidR="00180B0D" w:rsidRPr="00383E91" w:rsidRDefault="00180B0D" w:rsidP="00180B0D">
      <w:pPr>
        <w:pStyle w:val="Prrafodelista"/>
        <w:widowControl/>
        <w:numPr>
          <w:ilvl w:val="0"/>
          <w:numId w:val="5"/>
        </w:numPr>
        <w:suppressAutoHyphens w:val="0"/>
        <w:ind w:left="567" w:hanging="567"/>
        <w:contextualSpacing/>
        <w:jc w:val="both"/>
        <w:rPr>
          <w:rFonts w:ascii="Tahoma" w:hAnsi="Tahoma" w:cs="Tahoma"/>
          <w:sz w:val="23"/>
          <w:szCs w:val="23"/>
        </w:rPr>
      </w:pPr>
      <w:r w:rsidRPr="00383E91">
        <w:rPr>
          <w:rFonts w:ascii="Tahoma" w:hAnsi="Tahoma" w:cs="Tahoma"/>
          <w:sz w:val="23"/>
          <w:szCs w:val="23"/>
        </w:rPr>
        <w:t>Con decreto de fecha 10 de enero del 2011, se inició procedimiento administrativo sancionador contra el Postor, por su supuesta responsabilidad en la presentación del Certificado de conformidad de calidad del bien de fecha 01 de noviembre del 2006, documento supuestamente falso o inexacto, presentado en el acotado proceso de selección. Asimismo, se le emplazó para que dentro del plazo de diez (10) días hábiles cumpla con presentar sus descargos.</w:t>
      </w:r>
    </w:p>
    <w:p w:rsidR="00180B0D" w:rsidRPr="00383E91" w:rsidRDefault="00180B0D" w:rsidP="00180B0D">
      <w:pPr>
        <w:pStyle w:val="Prrafodelista"/>
        <w:widowControl/>
        <w:suppressAutoHyphens w:val="0"/>
        <w:ind w:left="567"/>
        <w:contextualSpacing/>
        <w:jc w:val="both"/>
        <w:rPr>
          <w:rFonts w:ascii="Tahoma" w:hAnsi="Tahoma" w:cs="Tahoma"/>
          <w:sz w:val="23"/>
          <w:szCs w:val="23"/>
        </w:rPr>
      </w:pPr>
    </w:p>
    <w:p w:rsidR="00180B0D" w:rsidRPr="00383E91" w:rsidRDefault="00180B0D" w:rsidP="00180B0D">
      <w:pPr>
        <w:pStyle w:val="Prrafodelista"/>
        <w:widowControl/>
        <w:numPr>
          <w:ilvl w:val="0"/>
          <w:numId w:val="5"/>
        </w:numPr>
        <w:suppressAutoHyphens w:val="0"/>
        <w:ind w:left="567" w:hanging="567"/>
        <w:contextualSpacing/>
        <w:jc w:val="both"/>
        <w:rPr>
          <w:rFonts w:ascii="Tahoma" w:hAnsi="Tahoma" w:cs="Tahoma"/>
          <w:sz w:val="23"/>
          <w:szCs w:val="23"/>
        </w:rPr>
      </w:pPr>
      <w:r w:rsidRPr="00383E91">
        <w:rPr>
          <w:rFonts w:ascii="Tahoma" w:hAnsi="Tahoma" w:cs="Tahoma"/>
          <w:sz w:val="23"/>
          <w:szCs w:val="23"/>
        </w:rPr>
        <w:t>Mediante escrito presentado el 16 de febrero del 2011, el Postor presentó sus descargos, solicitando que se declare improcedente la denuncia formulada por la Entidad, bajo los siguientes argumentos:</w:t>
      </w:r>
    </w:p>
    <w:p w:rsidR="00180B0D" w:rsidRPr="00383E91" w:rsidRDefault="00180B0D" w:rsidP="00180B0D">
      <w:pPr>
        <w:pStyle w:val="Prrafodelista"/>
        <w:rPr>
          <w:rFonts w:ascii="Tahoma" w:hAnsi="Tahoma" w:cs="Tahoma"/>
          <w:sz w:val="23"/>
          <w:szCs w:val="23"/>
        </w:rPr>
      </w:pPr>
    </w:p>
    <w:p w:rsidR="00180B0D" w:rsidRPr="00383E91" w:rsidRDefault="00180B0D" w:rsidP="00180B0D">
      <w:pPr>
        <w:pStyle w:val="Prrafodelista"/>
        <w:widowControl/>
        <w:numPr>
          <w:ilvl w:val="0"/>
          <w:numId w:val="7"/>
        </w:numPr>
        <w:suppressAutoHyphens w:val="0"/>
        <w:ind w:left="1134" w:hanging="567"/>
        <w:contextualSpacing/>
        <w:jc w:val="both"/>
        <w:rPr>
          <w:rFonts w:ascii="Tahoma" w:hAnsi="Tahoma" w:cs="Tahoma"/>
          <w:sz w:val="23"/>
          <w:szCs w:val="23"/>
        </w:rPr>
      </w:pPr>
      <w:r w:rsidRPr="00383E91">
        <w:rPr>
          <w:rFonts w:ascii="Tahoma" w:hAnsi="Tahoma" w:cs="Tahoma"/>
          <w:sz w:val="23"/>
          <w:szCs w:val="23"/>
        </w:rPr>
        <w:t>Dentro de su esquema de trabajo tiene un equipo de ventas conformado por varias personas, que indistintamente acceden a una carpeta de trabajo en red, aportando o haciendo uso de información, como facturas, certificados de calidad, estados de cuenta de los bancos, solicitudes a las entidades de certificados de calidad, modelos y borradores de los mismos, etc, por lo tanto, la persona o vendedor que ha estado a cargo del proceso, definitivamente, ha consignado un documento inexacto que no debía, por cuanto no había necesidad de ello.</w:t>
      </w:r>
    </w:p>
    <w:p w:rsidR="00180B0D" w:rsidRPr="00383E91" w:rsidRDefault="00180B0D" w:rsidP="00180B0D">
      <w:pPr>
        <w:pStyle w:val="Prrafodelista"/>
        <w:widowControl/>
        <w:suppressAutoHyphens w:val="0"/>
        <w:ind w:left="1134" w:hanging="567"/>
        <w:contextualSpacing/>
        <w:jc w:val="both"/>
        <w:rPr>
          <w:rFonts w:ascii="Tahoma" w:hAnsi="Tahoma" w:cs="Tahoma"/>
          <w:sz w:val="23"/>
          <w:szCs w:val="23"/>
        </w:rPr>
      </w:pPr>
    </w:p>
    <w:p w:rsidR="00180B0D" w:rsidRPr="00383E91" w:rsidRDefault="00180B0D" w:rsidP="00180B0D">
      <w:pPr>
        <w:pStyle w:val="Prrafodelista"/>
        <w:widowControl/>
        <w:numPr>
          <w:ilvl w:val="0"/>
          <w:numId w:val="7"/>
        </w:numPr>
        <w:suppressAutoHyphens w:val="0"/>
        <w:ind w:left="1134" w:hanging="567"/>
        <w:contextualSpacing/>
        <w:jc w:val="both"/>
        <w:rPr>
          <w:rFonts w:ascii="Tahoma" w:hAnsi="Tahoma" w:cs="Tahoma"/>
          <w:sz w:val="23"/>
          <w:szCs w:val="23"/>
        </w:rPr>
      </w:pPr>
      <w:r w:rsidRPr="00383E91">
        <w:rPr>
          <w:rFonts w:ascii="Tahoma" w:hAnsi="Tahoma" w:cs="Tahoma"/>
          <w:sz w:val="23"/>
          <w:szCs w:val="23"/>
        </w:rPr>
        <w:t>Asimismo, señaló que su experiencia del postor y el cumplimiento de la prestación, superaba el doble de lo requerido para conseguir el máximo puntaje y, por tanto, era innecesario el documento inexacto que se presentó.</w:t>
      </w:r>
    </w:p>
    <w:p w:rsidR="00180B0D" w:rsidRPr="00383E91" w:rsidRDefault="00180B0D" w:rsidP="00180B0D">
      <w:pPr>
        <w:pStyle w:val="Prrafodelista"/>
        <w:widowControl/>
        <w:suppressAutoHyphens w:val="0"/>
        <w:ind w:left="1134" w:hanging="567"/>
        <w:contextualSpacing/>
        <w:jc w:val="both"/>
        <w:rPr>
          <w:rFonts w:ascii="Tahoma" w:hAnsi="Tahoma" w:cs="Tahoma"/>
          <w:sz w:val="23"/>
          <w:szCs w:val="23"/>
        </w:rPr>
      </w:pPr>
    </w:p>
    <w:p w:rsidR="00180B0D" w:rsidRPr="00383E91" w:rsidRDefault="00180B0D" w:rsidP="00180B0D">
      <w:pPr>
        <w:pStyle w:val="Prrafodelista"/>
        <w:widowControl/>
        <w:numPr>
          <w:ilvl w:val="0"/>
          <w:numId w:val="7"/>
        </w:numPr>
        <w:suppressAutoHyphens w:val="0"/>
        <w:ind w:left="1134" w:hanging="567"/>
        <w:contextualSpacing/>
        <w:jc w:val="both"/>
        <w:rPr>
          <w:rFonts w:ascii="Tahoma" w:hAnsi="Tahoma" w:cs="Tahoma"/>
          <w:sz w:val="23"/>
          <w:szCs w:val="23"/>
        </w:rPr>
      </w:pPr>
      <w:r w:rsidRPr="00383E91">
        <w:rPr>
          <w:rFonts w:ascii="Tahoma" w:hAnsi="Tahoma" w:cs="Tahoma"/>
          <w:sz w:val="23"/>
          <w:szCs w:val="23"/>
        </w:rPr>
        <w:t>Finalmente, agregó que con la presentación del documento cuestionado, no tuvieron ventaja sobre los demás postores, ya que ellos fueron eliminados por no cumplir con las especificaciones técnicas solicitadas en las bases.</w:t>
      </w:r>
    </w:p>
    <w:p w:rsidR="00180B0D" w:rsidRPr="00383E91" w:rsidRDefault="00180B0D" w:rsidP="00180B0D">
      <w:pPr>
        <w:pStyle w:val="Prrafodelista"/>
        <w:rPr>
          <w:rFonts w:ascii="Tahoma" w:hAnsi="Tahoma" w:cs="Tahoma"/>
          <w:sz w:val="23"/>
          <w:szCs w:val="23"/>
        </w:rPr>
      </w:pPr>
    </w:p>
    <w:p w:rsidR="00180B0D" w:rsidRPr="00383E91" w:rsidRDefault="00180B0D" w:rsidP="00180B0D">
      <w:pPr>
        <w:pStyle w:val="Prrafodelista"/>
        <w:widowControl/>
        <w:numPr>
          <w:ilvl w:val="0"/>
          <w:numId w:val="5"/>
        </w:numPr>
        <w:suppressAutoHyphens w:val="0"/>
        <w:ind w:left="567" w:hanging="567"/>
        <w:contextualSpacing/>
        <w:jc w:val="both"/>
        <w:rPr>
          <w:rFonts w:ascii="Tahoma" w:hAnsi="Tahoma" w:cs="Tahoma"/>
          <w:sz w:val="23"/>
          <w:szCs w:val="23"/>
        </w:rPr>
      </w:pPr>
      <w:r w:rsidRPr="00383E91">
        <w:rPr>
          <w:rFonts w:ascii="Tahoma" w:hAnsi="Tahoma" w:cs="Tahoma"/>
          <w:sz w:val="23"/>
          <w:szCs w:val="23"/>
        </w:rPr>
        <w:t>A través del decreto de fecha 21 de febrero del 2011, se tuvo por apersonado en el presente procedimiento administrativo sancionador, por presentado sus descargos y, se remitió a la Primera Sala del Tribunal para que resuelva.</w:t>
      </w:r>
    </w:p>
    <w:p w:rsidR="00180B0D" w:rsidRPr="00383E91" w:rsidRDefault="00180B0D" w:rsidP="00180B0D">
      <w:pPr>
        <w:rPr>
          <w:rFonts w:ascii="Tahoma" w:hAnsi="Tahoma" w:cs="Tahoma"/>
          <w:b/>
          <w:sz w:val="23"/>
          <w:szCs w:val="23"/>
          <w:lang w:val="es-ES_tradnl"/>
        </w:rPr>
      </w:pPr>
    </w:p>
    <w:p w:rsidR="00180B0D" w:rsidRPr="00383E91" w:rsidRDefault="00180B0D" w:rsidP="00180B0D">
      <w:pPr>
        <w:pStyle w:val="Prrafodelista"/>
        <w:numPr>
          <w:ilvl w:val="0"/>
          <w:numId w:val="1"/>
        </w:numPr>
        <w:ind w:left="567" w:hanging="283"/>
        <w:rPr>
          <w:rFonts w:ascii="Tahoma" w:hAnsi="Tahoma" w:cs="Tahoma"/>
          <w:b/>
          <w:sz w:val="23"/>
          <w:szCs w:val="23"/>
        </w:rPr>
      </w:pPr>
      <w:r w:rsidRPr="00383E91">
        <w:rPr>
          <w:rFonts w:ascii="Tahoma" w:hAnsi="Tahoma" w:cs="Tahoma"/>
          <w:b/>
          <w:sz w:val="23"/>
          <w:szCs w:val="23"/>
        </w:rPr>
        <w:t>FUNDAMENTACIÓN</w:t>
      </w:r>
    </w:p>
    <w:p w:rsidR="00180B0D" w:rsidRPr="00383E91" w:rsidRDefault="00180B0D" w:rsidP="00180B0D">
      <w:pPr>
        <w:ind w:left="426"/>
        <w:jc w:val="both"/>
        <w:rPr>
          <w:rFonts w:ascii="Tahoma" w:hAnsi="Tahoma" w:cs="Tahoma"/>
          <w:sz w:val="23"/>
          <w:szCs w:val="23"/>
          <w:lang w:eastAsia="es-PE"/>
        </w:rPr>
      </w:pPr>
    </w:p>
    <w:p w:rsidR="00180B0D" w:rsidRPr="00383E91" w:rsidRDefault="00180B0D" w:rsidP="00180B0D">
      <w:pPr>
        <w:pStyle w:val="Prrafodelista"/>
        <w:widowControl/>
        <w:numPr>
          <w:ilvl w:val="0"/>
          <w:numId w:val="8"/>
        </w:numPr>
        <w:suppressAutoHyphens w:val="0"/>
        <w:ind w:left="567" w:hanging="567"/>
        <w:contextualSpacing/>
        <w:jc w:val="both"/>
        <w:rPr>
          <w:rFonts w:ascii="Tahoma" w:hAnsi="Tahoma" w:cs="Tahoma"/>
          <w:sz w:val="23"/>
          <w:szCs w:val="23"/>
          <w:lang w:val="es-PE"/>
        </w:rPr>
      </w:pPr>
      <w:r w:rsidRPr="00383E91">
        <w:rPr>
          <w:rFonts w:ascii="Tahoma" w:hAnsi="Tahoma" w:cs="Tahoma"/>
          <w:sz w:val="23"/>
          <w:szCs w:val="23"/>
          <w:lang w:val="es-PE"/>
        </w:rPr>
        <w:t>El presente procedimiento administrativo sancionador ha sido iniciado contra el Postor, por su supuesta responsabilidad en la presentación de documentación falsa o información inexacta a la Entidad; infracción tipificada en el literal i) del numeral 51.1 del artículo 51 de la Ley de Contrataciones del Estado</w:t>
      </w:r>
      <w:r w:rsidRPr="00383E91">
        <w:rPr>
          <w:rStyle w:val="Refdenotaalpie"/>
          <w:rFonts w:ascii="Tahoma" w:hAnsi="Tahoma" w:cs="Tahoma"/>
          <w:sz w:val="23"/>
          <w:szCs w:val="23"/>
          <w:lang w:val="es-PE"/>
        </w:rPr>
        <w:footnoteReference w:id="2"/>
      </w:r>
      <w:r w:rsidRPr="00383E91">
        <w:rPr>
          <w:rFonts w:ascii="Tahoma" w:hAnsi="Tahoma" w:cs="Tahoma"/>
          <w:sz w:val="23"/>
          <w:szCs w:val="23"/>
          <w:lang w:val="es-PE"/>
        </w:rPr>
        <w:t>, en adelante la Ley, así como el literal i) del numeral 1 del artículo 237 del Reglamento de la Ley de Contrataciones del Estado</w:t>
      </w:r>
      <w:r w:rsidRPr="00383E91">
        <w:rPr>
          <w:rStyle w:val="Refdenotaalpie"/>
          <w:rFonts w:ascii="Tahoma" w:hAnsi="Tahoma" w:cs="Tahoma"/>
          <w:sz w:val="23"/>
          <w:szCs w:val="23"/>
          <w:lang w:val="es-PE"/>
        </w:rPr>
        <w:footnoteReference w:id="3"/>
      </w:r>
      <w:r w:rsidRPr="00383E91">
        <w:rPr>
          <w:rFonts w:ascii="Tahoma" w:hAnsi="Tahoma" w:cs="Tahoma"/>
          <w:sz w:val="23"/>
          <w:szCs w:val="23"/>
          <w:lang w:val="es-PE"/>
        </w:rPr>
        <w:t>, en adelante el Reglamento, normativa aplicable al presente caso.</w:t>
      </w:r>
    </w:p>
    <w:p w:rsidR="00180B0D" w:rsidRPr="00383E91" w:rsidRDefault="00180B0D" w:rsidP="00180B0D">
      <w:pPr>
        <w:pStyle w:val="Prrafodelista"/>
        <w:ind w:left="567"/>
        <w:contextualSpacing/>
        <w:jc w:val="both"/>
        <w:rPr>
          <w:rFonts w:ascii="Tahoma" w:hAnsi="Tahoma" w:cs="Tahoma"/>
          <w:sz w:val="23"/>
          <w:szCs w:val="23"/>
          <w:lang w:val="es-PE"/>
        </w:rPr>
      </w:pPr>
    </w:p>
    <w:p w:rsidR="00180B0D" w:rsidRPr="00383E91" w:rsidRDefault="00180B0D" w:rsidP="00180B0D">
      <w:pPr>
        <w:pStyle w:val="Prrafodelista"/>
        <w:widowControl/>
        <w:numPr>
          <w:ilvl w:val="0"/>
          <w:numId w:val="8"/>
        </w:numPr>
        <w:suppressAutoHyphens w:val="0"/>
        <w:ind w:left="567" w:hanging="567"/>
        <w:contextualSpacing/>
        <w:jc w:val="both"/>
        <w:rPr>
          <w:rFonts w:ascii="Tahoma" w:hAnsi="Tahoma" w:cs="Tahoma"/>
          <w:sz w:val="23"/>
          <w:szCs w:val="23"/>
          <w:lang w:val="es-PE"/>
        </w:rPr>
      </w:pPr>
      <w:r w:rsidRPr="00383E91">
        <w:rPr>
          <w:rFonts w:ascii="Tahoma" w:hAnsi="Tahoma" w:cs="Tahoma"/>
          <w:sz w:val="23"/>
          <w:szCs w:val="23"/>
          <w:lang w:val="es-PE"/>
        </w:rPr>
        <w:t>Sobre el particular, las normas antes citadas, establecen que los proveedores, participantes, postores y/o contratistas incurrirán en infracción susceptible de sanción cuando presenten documentos falsos o información inexacta a las Entidades, al Tribunal o al OSCE.</w:t>
      </w:r>
    </w:p>
    <w:p w:rsidR="00180B0D" w:rsidRPr="00383E91" w:rsidRDefault="00180B0D" w:rsidP="00180B0D">
      <w:pPr>
        <w:pStyle w:val="Prrafodelista"/>
        <w:ind w:left="567"/>
        <w:rPr>
          <w:rFonts w:ascii="Tahoma" w:hAnsi="Tahoma" w:cs="Tahoma"/>
          <w:sz w:val="23"/>
          <w:szCs w:val="23"/>
          <w:lang w:val="es-PE"/>
        </w:rPr>
      </w:pPr>
    </w:p>
    <w:p w:rsidR="00180B0D" w:rsidRPr="00383E91" w:rsidRDefault="00180B0D" w:rsidP="00180B0D">
      <w:pPr>
        <w:pStyle w:val="Prrafodelista"/>
        <w:ind w:left="567"/>
        <w:contextualSpacing/>
        <w:jc w:val="both"/>
        <w:rPr>
          <w:rFonts w:ascii="Tahoma" w:hAnsi="Tahoma" w:cs="Tahoma"/>
          <w:sz w:val="23"/>
          <w:szCs w:val="23"/>
          <w:lang w:val="es-PE"/>
        </w:rPr>
      </w:pPr>
      <w:r w:rsidRPr="00383E91">
        <w:rPr>
          <w:rFonts w:ascii="Tahoma" w:hAnsi="Tahoma" w:cs="Tahoma"/>
          <w:sz w:val="23"/>
          <w:szCs w:val="23"/>
          <w:lang w:val="es-PE"/>
        </w:rPr>
        <w:t>Dicha infracción se configura con la sola presentación del documento falso o inexacto, sin que la norma exija otros factores adicionales.</w:t>
      </w:r>
    </w:p>
    <w:p w:rsidR="00180B0D" w:rsidRPr="00383E91" w:rsidRDefault="00180B0D" w:rsidP="00180B0D">
      <w:pPr>
        <w:pStyle w:val="Prrafodelista"/>
        <w:ind w:left="567"/>
        <w:rPr>
          <w:rFonts w:ascii="Tahoma" w:hAnsi="Tahoma" w:cs="Tahoma"/>
          <w:sz w:val="23"/>
          <w:szCs w:val="23"/>
          <w:lang w:val="es-PE"/>
        </w:rPr>
      </w:pPr>
    </w:p>
    <w:p w:rsidR="00180B0D" w:rsidRPr="00383E91" w:rsidRDefault="00180B0D" w:rsidP="00180B0D">
      <w:pPr>
        <w:pStyle w:val="Prrafodelista"/>
        <w:widowControl/>
        <w:numPr>
          <w:ilvl w:val="0"/>
          <w:numId w:val="8"/>
        </w:numPr>
        <w:suppressAutoHyphens w:val="0"/>
        <w:ind w:left="567" w:hanging="567"/>
        <w:contextualSpacing/>
        <w:jc w:val="both"/>
        <w:rPr>
          <w:rFonts w:ascii="Tahoma" w:hAnsi="Tahoma" w:cs="Tahoma"/>
          <w:sz w:val="23"/>
          <w:szCs w:val="23"/>
          <w:lang w:val="es-PE"/>
        </w:rPr>
      </w:pPr>
      <w:r w:rsidRPr="00383E91">
        <w:rPr>
          <w:rFonts w:ascii="Tahoma" w:hAnsi="Tahoma" w:cs="Tahoma"/>
          <w:sz w:val="23"/>
          <w:szCs w:val="23"/>
          <w:lang w:val="es-PE"/>
        </w:rPr>
        <w:t xml:space="preserve">Para la configuración de los supuestos de hecho de la norma que contiene la infracción imputada se requiere acreditar la falsedad o inexactitud del documento cuestionado; es decir, que éste no haya sido expedido por el órgano emisor correspondiente, o que siendo válidamente expedido haya sido adulterado en su contenido, o que éste sea incongruente con la realidad, produciendo un falseamiento de ésta, a través del quebrantamiento de los </w:t>
      </w:r>
      <w:r w:rsidRPr="00383E91">
        <w:rPr>
          <w:rFonts w:ascii="Tahoma" w:hAnsi="Tahoma" w:cs="Tahoma"/>
          <w:i/>
          <w:sz w:val="23"/>
          <w:szCs w:val="23"/>
          <w:lang w:val="es-PE"/>
        </w:rPr>
        <w:t>Principios de Moralidad</w:t>
      </w:r>
      <w:r w:rsidRPr="00383E91">
        <w:rPr>
          <w:rFonts w:ascii="Tahoma" w:hAnsi="Tahoma" w:cs="Tahoma"/>
          <w:sz w:val="23"/>
          <w:szCs w:val="23"/>
          <w:lang w:val="es-PE"/>
        </w:rPr>
        <w:t xml:space="preserve"> y de </w:t>
      </w:r>
      <w:r w:rsidRPr="00383E91">
        <w:rPr>
          <w:rFonts w:ascii="Tahoma" w:hAnsi="Tahoma" w:cs="Tahoma"/>
          <w:i/>
          <w:sz w:val="23"/>
          <w:szCs w:val="23"/>
          <w:lang w:val="es-PE"/>
        </w:rPr>
        <w:t>Presunción de Veracidad</w:t>
      </w:r>
      <w:r w:rsidRPr="00383E91">
        <w:rPr>
          <w:rFonts w:ascii="Tahoma" w:hAnsi="Tahoma" w:cs="Tahoma"/>
          <w:sz w:val="23"/>
          <w:szCs w:val="23"/>
          <w:lang w:val="es-PE"/>
        </w:rPr>
        <w:t>, de conformidad con lo establecido en el literal b) del artículo 4 de la Ley, en concordancia con lo dispuesto en el numeral 1.7 del Artículo IV del Título Preliminar y el numeral 42.1 del artículo 42 de la Ley del Procedimiento Administrativo General, Ley Nº 27444.</w:t>
      </w:r>
    </w:p>
    <w:p w:rsidR="00180B0D" w:rsidRPr="00383E91" w:rsidRDefault="00180B0D" w:rsidP="00180B0D">
      <w:pPr>
        <w:pStyle w:val="Prrafodelista"/>
        <w:ind w:left="567"/>
        <w:contextualSpacing/>
        <w:jc w:val="both"/>
        <w:rPr>
          <w:rFonts w:ascii="Tahoma" w:hAnsi="Tahoma" w:cs="Tahoma"/>
          <w:sz w:val="23"/>
          <w:szCs w:val="23"/>
          <w:lang w:val="es-PE"/>
        </w:rPr>
      </w:pPr>
    </w:p>
    <w:p w:rsidR="00180B0D" w:rsidRPr="00383E91" w:rsidRDefault="00180B0D" w:rsidP="00180B0D">
      <w:pPr>
        <w:pStyle w:val="Prrafodelista"/>
        <w:widowControl/>
        <w:numPr>
          <w:ilvl w:val="0"/>
          <w:numId w:val="8"/>
        </w:numPr>
        <w:suppressAutoHyphens w:val="0"/>
        <w:ind w:left="567" w:hanging="567"/>
        <w:contextualSpacing/>
        <w:jc w:val="both"/>
        <w:rPr>
          <w:rFonts w:ascii="Tahoma" w:hAnsi="Tahoma" w:cs="Tahoma"/>
          <w:sz w:val="23"/>
          <w:szCs w:val="23"/>
          <w:lang w:val="es-PE"/>
        </w:rPr>
      </w:pPr>
      <w:r w:rsidRPr="00383E91">
        <w:rPr>
          <w:rFonts w:ascii="Tahoma" w:hAnsi="Tahoma" w:cs="Tahoma"/>
          <w:sz w:val="23"/>
          <w:szCs w:val="23"/>
          <w:lang w:val="es-PE"/>
        </w:rPr>
        <w:lastRenderedPageBreak/>
        <w:t xml:space="preserve">En el caso que nos ocupa, la imputación contra el Postor se refiere, en específico, </w:t>
      </w:r>
      <w:r w:rsidRPr="00383E91">
        <w:rPr>
          <w:rFonts w:ascii="Tahoma" w:hAnsi="Tahoma" w:cs="Tahoma"/>
          <w:sz w:val="23"/>
          <w:szCs w:val="23"/>
        </w:rPr>
        <w:t xml:space="preserve">a la supuesta falsedad o inexactitud del CERTIFICADO DE CONFORMIDAD DE CALIDAD DEL BIEN de la entrega de los bienes detallados en la Factura 001 Nº 0008028, de fecha 01 de noviembre del 2006, supuestamente emitida por </w:t>
      </w:r>
      <w:r w:rsidRPr="00383E91">
        <w:rPr>
          <w:rFonts w:ascii="Tahoma" w:hAnsi="Tahoma" w:cs="Tahoma"/>
          <w:sz w:val="23"/>
          <w:szCs w:val="23"/>
          <w:lang w:val="es-PE"/>
        </w:rPr>
        <w:t>por la empresa Siderúrgica del Perú SAA</w:t>
      </w:r>
      <w:r w:rsidRPr="00383E91">
        <w:rPr>
          <w:rFonts w:ascii="Tahoma" w:hAnsi="Tahoma" w:cs="Tahoma"/>
          <w:sz w:val="23"/>
          <w:szCs w:val="23"/>
        </w:rPr>
        <w:t>.</w:t>
      </w:r>
    </w:p>
    <w:p w:rsidR="00383E91" w:rsidRPr="00383E91" w:rsidRDefault="00383E91" w:rsidP="00383E91">
      <w:pPr>
        <w:pStyle w:val="Prrafodelista"/>
        <w:rPr>
          <w:rFonts w:ascii="Tahoma" w:hAnsi="Tahoma" w:cs="Tahoma"/>
          <w:sz w:val="23"/>
          <w:szCs w:val="23"/>
          <w:lang w:val="es-PE"/>
        </w:rPr>
      </w:pPr>
    </w:p>
    <w:p w:rsidR="00180B0D" w:rsidRPr="00383E91" w:rsidRDefault="00180B0D" w:rsidP="00383E91">
      <w:pPr>
        <w:pStyle w:val="Prrafodelista"/>
        <w:widowControl/>
        <w:numPr>
          <w:ilvl w:val="0"/>
          <w:numId w:val="8"/>
        </w:numPr>
        <w:suppressAutoHyphens w:val="0"/>
        <w:ind w:left="567" w:hanging="567"/>
        <w:contextualSpacing/>
        <w:jc w:val="both"/>
        <w:rPr>
          <w:rFonts w:ascii="Tahoma" w:hAnsi="Tahoma" w:cs="Tahoma"/>
          <w:sz w:val="23"/>
          <w:szCs w:val="23"/>
          <w:lang w:val="es-PE"/>
        </w:rPr>
      </w:pPr>
      <w:r w:rsidRPr="00383E91">
        <w:rPr>
          <w:rFonts w:ascii="Tahoma" w:hAnsi="Tahoma" w:cs="Tahoma"/>
          <w:sz w:val="23"/>
          <w:szCs w:val="23"/>
          <w:lang w:val="es-PE"/>
        </w:rPr>
        <w:t xml:space="preserve">Respecto a ello, obra en autos el </w:t>
      </w:r>
      <w:r w:rsidRPr="00383E91">
        <w:rPr>
          <w:rFonts w:ascii="Tahoma" w:hAnsi="Tahoma" w:cs="Tahoma"/>
          <w:sz w:val="23"/>
          <w:szCs w:val="23"/>
        </w:rPr>
        <w:t>escrito presentado el 17 de noviembre del 2010 ante la Entidad, la empresa Siderúrgica del Perú S.A. informó lo siguiente:</w:t>
      </w:r>
    </w:p>
    <w:p w:rsidR="00180B0D" w:rsidRPr="002B7ED0" w:rsidRDefault="00180B0D" w:rsidP="00180B0D">
      <w:pPr>
        <w:pStyle w:val="Prrafodelista"/>
        <w:rPr>
          <w:rFonts w:ascii="Tahoma" w:hAnsi="Tahoma" w:cs="Tahoma"/>
          <w:sz w:val="22"/>
          <w:szCs w:val="22"/>
        </w:rPr>
      </w:pPr>
    </w:p>
    <w:p w:rsidR="00180B0D" w:rsidRPr="002B7ED0" w:rsidRDefault="00180B0D" w:rsidP="00180B0D">
      <w:pPr>
        <w:pStyle w:val="Prrafodelista"/>
        <w:widowControl/>
        <w:numPr>
          <w:ilvl w:val="0"/>
          <w:numId w:val="9"/>
        </w:numPr>
        <w:suppressAutoHyphens w:val="0"/>
        <w:ind w:left="1560" w:right="566"/>
        <w:contextualSpacing/>
        <w:jc w:val="both"/>
        <w:rPr>
          <w:rFonts w:ascii="Tahoma" w:hAnsi="Tahoma" w:cs="Tahoma"/>
          <w:i/>
          <w:sz w:val="18"/>
          <w:szCs w:val="18"/>
        </w:rPr>
      </w:pPr>
      <w:r w:rsidRPr="002B7ED0">
        <w:rPr>
          <w:rFonts w:ascii="Tahoma" w:hAnsi="Tahoma" w:cs="Tahoma"/>
          <w:i/>
          <w:sz w:val="18"/>
          <w:szCs w:val="18"/>
        </w:rPr>
        <w:t>La factura Nº 001-0008028, de fecha 01 de noviembre de 2006, por la suma de US$ 17,121.72 (diecisiete mil ciento veintiuno con 72/100 Dólares Americanos), es verdadera y auténtica, la operación de compra y correspondientes transferencia y entrega del scanner 4500HP de dicha factura se realizaron y constituyeron operaciones reales: y.</w:t>
      </w:r>
    </w:p>
    <w:p w:rsidR="00180B0D" w:rsidRPr="002B7ED0" w:rsidRDefault="00180B0D" w:rsidP="00180B0D">
      <w:pPr>
        <w:pStyle w:val="Prrafodelista"/>
        <w:widowControl/>
        <w:suppressAutoHyphens w:val="0"/>
        <w:ind w:left="1560" w:right="566"/>
        <w:contextualSpacing/>
        <w:jc w:val="both"/>
        <w:rPr>
          <w:rFonts w:ascii="Tahoma" w:hAnsi="Tahoma" w:cs="Tahoma"/>
          <w:i/>
          <w:sz w:val="18"/>
          <w:szCs w:val="18"/>
        </w:rPr>
      </w:pPr>
    </w:p>
    <w:p w:rsidR="00180B0D" w:rsidRPr="002B7ED0" w:rsidRDefault="00180B0D" w:rsidP="00180B0D">
      <w:pPr>
        <w:pStyle w:val="Prrafodelista"/>
        <w:widowControl/>
        <w:numPr>
          <w:ilvl w:val="0"/>
          <w:numId w:val="9"/>
        </w:numPr>
        <w:suppressAutoHyphens w:val="0"/>
        <w:ind w:left="1560" w:right="566"/>
        <w:contextualSpacing/>
        <w:jc w:val="both"/>
        <w:rPr>
          <w:rFonts w:ascii="Tahoma" w:hAnsi="Tahoma" w:cs="Tahoma"/>
          <w:i/>
          <w:sz w:val="18"/>
          <w:szCs w:val="18"/>
        </w:rPr>
      </w:pPr>
      <w:r w:rsidRPr="002B7ED0">
        <w:rPr>
          <w:rFonts w:ascii="Tahoma" w:hAnsi="Tahoma" w:cs="Tahoma"/>
          <w:i/>
          <w:sz w:val="18"/>
          <w:szCs w:val="18"/>
        </w:rPr>
        <w:t>El denominado “Certificado de Conformidad de Calidad del Bien” no fue emitido ni suscrito por SIDERPERÚ”</w:t>
      </w:r>
    </w:p>
    <w:p w:rsidR="00180B0D" w:rsidRPr="004A0C30" w:rsidRDefault="00180B0D" w:rsidP="00180B0D">
      <w:pPr>
        <w:pStyle w:val="Prrafodelista"/>
        <w:widowControl/>
        <w:suppressAutoHyphens w:val="0"/>
        <w:ind w:left="567"/>
        <w:contextualSpacing/>
        <w:jc w:val="both"/>
        <w:rPr>
          <w:rFonts w:ascii="Tahoma" w:hAnsi="Tahoma" w:cs="Tahoma"/>
          <w:sz w:val="22"/>
          <w:szCs w:val="22"/>
          <w:lang w:val="es-PE"/>
        </w:rPr>
      </w:pPr>
    </w:p>
    <w:p w:rsidR="00180B0D" w:rsidRPr="00383E91" w:rsidRDefault="00180B0D" w:rsidP="00180B0D">
      <w:pPr>
        <w:pStyle w:val="Prrafodelista"/>
        <w:widowControl/>
        <w:numPr>
          <w:ilvl w:val="0"/>
          <w:numId w:val="8"/>
        </w:numPr>
        <w:suppressAutoHyphens w:val="0"/>
        <w:ind w:left="567" w:hanging="567"/>
        <w:contextualSpacing/>
        <w:jc w:val="both"/>
        <w:rPr>
          <w:rFonts w:ascii="Tahoma" w:hAnsi="Tahoma" w:cs="Tahoma"/>
          <w:sz w:val="23"/>
          <w:szCs w:val="23"/>
          <w:lang w:val="es-PE"/>
        </w:rPr>
      </w:pPr>
      <w:r w:rsidRPr="00383E91">
        <w:rPr>
          <w:rFonts w:ascii="Tahoma" w:hAnsi="Tahoma" w:cs="Tahoma"/>
          <w:sz w:val="23"/>
          <w:szCs w:val="23"/>
          <w:lang w:val="es-PE"/>
        </w:rPr>
        <w:t xml:space="preserve">Sobre el particular, </w:t>
      </w:r>
      <w:r w:rsidRPr="00383E91">
        <w:rPr>
          <w:rFonts w:ascii="Tahoma" w:hAnsi="Tahoma" w:cs="Tahoma"/>
          <w:sz w:val="23"/>
          <w:szCs w:val="23"/>
          <w:lang w:val="es-MX"/>
        </w:rPr>
        <w:t xml:space="preserve">es pertinente señalar que </w:t>
      </w:r>
      <w:r w:rsidRPr="00383E91">
        <w:rPr>
          <w:rFonts w:ascii="Tahoma" w:hAnsi="Tahoma" w:cs="Tahoma"/>
          <w:sz w:val="23"/>
          <w:szCs w:val="23"/>
          <w:lang w:val="es-PE"/>
        </w:rPr>
        <w:t xml:space="preserve">respecto al cuestionamiento referido a la falsedad o inexactitud de determinados documentos, debe contarse con pruebas contundentes y fehacientes sobre la imputación efectuada, atendiendo a que el procedimiento administrativo se sustenta, además de otros, en el mencionado </w:t>
      </w:r>
      <w:r w:rsidRPr="00383E91">
        <w:rPr>
          <w:rFonts w:ascii="Tahoma" w:hAnsi="Tahoma" w:cs="Tahoma"/>
          <w:i/>
          <w:sz w:val="23"/>
          <w:szCs w:val="23"/>
          <w:lang w:val="es-PE"/>
        </w:rPr>
        <w:t>Principio de Presunción de Veracidad</w:t>
      </w:r>
      <w:r w:rsidRPr="00383E91">
        <w:rPr>
          <w:rFonts w:ascii="Tahoma" w:hAnsi="Tahoma" w:cs="Tahoma"/>
          <w:sz w:val="23"/>
          <w:szCs w:val="23"/>
          <w:lang w:val="es-PE"/>
        </w:rPr>
        <w:t>.</w:t>
      </w:r>
    </w:p>
    <w:p w:rsidR="00180B0D" w:rsidRPr="00383E91" w:rsidRDefault="00180B0D" w:rsidP="00180B0D">
      <w:pPr>
        <w:pStyle w:val="Prrafodelista"/>
        <w:ind w:left="567"/>
        <w:rPr>
          <w:rFonts w:ascii="Tahoma" w:hAnsi="Tahoma" w:cs="Tahoma"/>
          <w:sz w:val="23"/>
          <w:szCs w:val="23"/>
          <w:lang w:val="es-PE"/>
        </w:rPr>
      </w:pPr>
    </w:p>
    <w:p w:rsidR="00180B0D" w:rsidRPr="00383E91" w:rsidRDefault="00180B0D" w:rsidP="00180B0D">
      <w:pPr>
        <w:tabs>
          <w:tab w:val="left" w:pos="567"/>
        </w:tabs>
        <w:ind w:left="567"/>
        <w:jc w:val="both"/>
        <w:rPr>
          <w:rFonts w:ascii="Tahoma" w:hAnsi="Tahoma" w:cs="Tahoma"/>
          <w:sz w:val="23"/>
          <w:szCs w:val="23"/>
          <w:lang w:val="es-MX"/>
        </w:rPr>
      </w:pPr>
      <w:r w:rsidRPr="00383E91">
        <w:rPr>
          <w:rFonts w:ascii="Tahoma" w:hAnsi="Tahoma" w:cs="Tahoma"/>
          <w:sz w:val="23"/>
          <w:szCs w:val="23"/>
          <w:lang w:val="es-PE"/>
        </w:rPr>
        <w:t>Lo anterior se traduce en la obligación que recae sobre la Administración de presumir la Buena Fe y la legalidad de los actos que realizan los administrados, de tal manera que las sospechas, suposiciones o indicios respecto de una supuesta falsedad no son razón suficiente para desvirtuar dicha presunción, la cual sólo puede ser destruida mediante la probanza respectiva; asumir lo contrario, supondría avalar la presentación de denuncias de falsedad y/o inexactitud sin mayor sustento que las apreciaciones subjetivas de los denunciantes.</w:t>
      </w:r>
    </w:p>
    <w:p w:rsidR="00180B0D" w:rsidRPr="00383E91" w:rsidRDefault="00180B0D" w:rsidP="00180B0D">
      <w:pPr>
        <w:pStyle w:val="Prrafodelista"/>
        <w:ind w:left="567"/>
        <w:rPr>
          <w:rFonts w:ascii="Tahoma" w:hAnsi="Tahoma" w:cs="Tahoma"/>
          <w:sz w:val="23"/>
          <w:szCs w:val="23"/>
          <w:lang w:val="es-MX"/>
        </w:rPr>
      </w:pPr>
    </w:p>
    <w:p w:rsidR="00180B0D" w:rsidRPr="00383E91" w:rsidRDefault="00180B0D" w:rsidP="00180B0D">
      <w:pPr>
        <w:pStyle w:val="Prrafodelista"/>
        <w:widowControl/>
        <w:numPr>
          <w:ilvl w:val="0"/>
          <w:numId w:val="8"/>
        </w:numPr>
        <w:suppressAutoHyphens w:val="0"/>
        <w:ind w:left="567" w:hanging="567"/>
        <w:contextualSpacing/>
        <w:jc w:val="both"/>
        <w:rPr>
          <w:rFonts w:ascii="Tahoma" w:hAnsi="Tahoma" w:cs="Tahoma"/>
          <w:sz w:val="23"/>
          <w:szCs w:val="23"/>
          <w:lang w:val="es-PE"/>
        </w:rPr>
      </w:pPr>
      <w:r w:rsidRPr="00383E91">
        <w:rPr>
          <w:rFonts w:ascii="Tahoma" w:hAnsi="Tahoma" w:cs="Tahoma"/>
          <w:sz w:val="23"/>
          <w:szCs w:val="23"/>
          <w:lang w:val="es-MX"/>
        </w:rPr>
        <w:t>Precisamente, cuestión diferente ocurre en lo referido al documento cuestionado</w:t>
      </w:r>
      <w:r w:rsidRPr="00383E91">
        <w:rPr>
          <w:rFonts w:ascii="Tahoma" w:hAnsi="Tahoma" w:cs="Tahoma"/>
          <w:sz w:val="23"/>
          <w:szCs w:val="23"/>
        </w:rPr>
        <w:t>, ya que la empresa Siderúrgica del Perú S.A., la misma que supuestamente habría emitido el Certificado de conformidad de calidad del bien de fecha 01 de noviembre del 2006, expresamente señaló que el documento no ha sido emitido ni suscrito por ella</w:t>
      </w:r>
      <w:r w:rsidRPr="00383E91">
        <w:rPr>
          <w:rFonts w:ascii="Tahoma" w:hAnsi="Tahoma" w:cs="Tahoma"/>
          <w:sz w:val="23"/>
          <w:szCs w:val="23"/>
          <w:lang w:val="es-PE"/>
        </w:rPr>
        <w:t xml:space="preserve">; </w:t>
      </w:r>
      <w:r w:rsidRPr="00383E91">
        <w:rPr>
          <w:rFonts w:ascii="Tahoma" w:hAnsi="Tahoma" w:cs="Tahoma"/>
          <w:sz w:val="23"/>
          <w:szCs w:val="23"/>
          <w:lang w:val="es-MX"/>
        </w:rPr>
        <w:t xml:space="preserve">lo cual, </w:t>
      </w:r>
      <w:r w:rsidRPr="00383E91">
        <w:rPr>
          <w:rFonts w:ascii="Tahoma" w:hAnsi="Tahoma" w:cs="Tahoma"/>
          <w:sz w:val="23"/>
          <w:szCs w:val="23"/>
        </w:rPr>
        <w:t>conforme a reiterados pronunciamientos de este Tribunal, constituye mérito suficiente para acreditar la falsedad de un documento</w:t>
      </w:r>
      <w:r w:rsidRPr="00383E91">
        <w:rPr>
          <w:rFonts w:ascii="Tahoma" w:hAnsi="Tahoma" w:cs="Tahoma"/>
          <w:sz w:val="23"/>
          <w:szCs w:val="23"/>
          <w:lang w:val="es-PE"/>
        </w:rPr>
        <w:t>.</w:t>
      </w:r>
    </w:p>
    <w:p w:rsidR="00180B0D" w:rsidRPr="00383E91" w:rsidRDefault="00180B0D" w:rsidP="00180B0D">
      <w:pPr>
        <w:pStyle w:val="Prrafodelista"/>
        <w:ind w:left="567"/>
        <w:contextualSpacing/>
        <w:jc w:val="both"/>
        <w:rPr>
          <w:rFonts w:ascii="Tahoma" w:hAnsi="Tahoma" w:cs="Tahoma"/>
          <w:sz w:val="23"/>
          <w:szCs w:val="23"/>
          <w:lang w:val="es-PE"/>
        </w:rPr>
      </w:pPr>
    </w:p>
    <w:p w:rsidR="00180B0D" w:rsidRPr="00383E91" w:rsidRDefault="00180B0D" w:rsidP="00180B0D">
      <w:pPr>
        <w:pStyle w:val="Prrafodelista"/>
        <w:widowControl/>
        <w:numPr>
          <w:ilvl w:val="0"/>
          <w:numId w:val="8"/>
        </w:numPr>
        <w:suppressAutoHyphens w:val="0"/>
        <w:ind w:left="567" w:hanging="567"/>
        <w:contextualSpacing/>
        <w:jc w:val="both"/>
        <w:rPr>
          <w:rFonts w:ascii="Tahoma" w:hAnsi="Tahoma" w:cs="Tahoma"/>
          <w:sz w:val="23"/>
          <w:szCs w:val="23"/>
          <w:lang w:val="es-MX"/>
        </w:rPr>
      </w:pPr>
      <w:r w:rsidRPr="00383E91">
        <w:rPr>
          <w:rFonts w:ascii="Tahoma" w:hAnsi="Tahoma" w:cs="Tahoma"/>
          <w:sz w:val="23"/>
          <w:szCs w:val="23"/>
        </w:rPr>
        <w:t xml:space="preserve">Ahora bien, el Postor presentó sus descargos, en el cual señaló que la persona o vendedor habría incluido dicho documento, cuando no existía necesidad de ello, toda vez que tanto en su experiencia como en el </w:t>
      </w:r>
      <w:r w:rsidRPr="00383E91">
        <w:rPr>
          <w:rFonts w:ascii="Tahoma" w:hAnsi="Tahoma" w:cs="Tahoma"/>
          <w:sz w:val="23"/>
          <w:szCs w:val="23"/>
        </w:rPr>
        <w:lastRenderedPageBreak/>
        <w:t>cumplimiento de la prestación, ya había acreditado lo requerido para obtener el máximo puntaje y, por tanto, era innecesario presentar el documento cuestionado.</w:t>
      </w:r>
    </w:p>
    <w:p w:rsidR="00180B0D" w:rsidRPr="00383E91" w:rsidRDefault="00180B0D" w:rsidP="00180B0D">
      <w:pPr>
        <w:contextualSpacing/>
        <w:jc w:val="both"/>
        <w:rPr>
          <w:rFonts w:ascii="Tahoma" w:hAnsi="Tahoma" w:cs="Tahoma"/>
          <w:sz w:val="23"/>
          <w:szCs w:val="23"/>
          <w:lang w:val="es-MX"/>
        </w:rPr>
      </w:pPr>
    </w:p>
    <w:p w:rsidR="00180B0D" w:rsidRPr="00383E91" w:rsidRDefault="00180B0D" w:rsidP="00180B0D">
      <w:pPr>
        <w:ind w:left="567"/>
        <w:contextualSpacing/>
        <w:jc w:val="both"/>
        <w:rPr>
          <w:rFonts w:ascii="Tahoma" w:hAnsi="Tahoma" w:cs="Tahoma"/>
          <w:sz w:val="23"/>
          <w:szCs w:val="23"/>
        </w:rPr>
      </w:pPr>
      <w:r w:rsidRPr="00383E91">
        <w:rPr>
          <w:rFonts w:ascii="Tahoma" w:hAnsi="Tahoma" w:cs="Tahoma"/>
          <w:sz w:val="23"/>
          <w:szCs w:val="23"/>
          <w:lang w:val="es-MX"/>
        </w:rPr>
        <w:t xml:space="preserve">Asimismo, señaló </w:t>
      </w:r>
      <w:r w:rsidRPr="00383E91">
        <w:rPr>
          <w:rFonts w:ascii="Tahoma" w:hAnsi="Tahoma" w:cs="Tahoma"/>
          <w:sz w:val="23"/>
          <w:szCs w:val="23"/>
        </w:rPr>
        <w:t>que con la presentación del documento cuestionado, no tuvieron ventaja sobre los demás postores, ya que ellos fueron eliminados por no cumplir con las especificaciones técnicas solicitadas en las bases.</w:t>
      </w:r>
    </w:p>
    <w:p w:rsidR="00180B0D" w:rsidRPr="00383E91" w:rsidRDefault="00180B0D" w:rsidP="00180B0D">
      <w:pPr>
        <w:contextualSpacing/>
        <w:jc w:val="both"/>
        <w:rPr>
          <w:rFonts w:ascii="Tahoma" w:hAnsi="Tahoma" w:cs="Tahoma"/>
          <w:sz w:val="23"/>
          <w:szCs w:val="23"/>
          <w:lang w:val="es-ES_tradnl"/>
        </w:rPr>
      </w:pPr>
    </w:p>
    <w:p w:rsidR="00180B0D" w:rsidRPr="00383E91" w:rsidRDefault="00180B0D" w:rsidP="00180B0D">
      <w:pPr>
        <w:pStyle w:val="Prrafodelista"/>
        <w:widowControl/>
        <w:numPr>
          <w:ilvl w:val="0"/>
          <w:numId w:val="8"/>
        </w:numPr>
        <w:suppressAutoHyphens w:val="0"/>
        <w:ind w:left="567" w:hanging="567"/>
        <w:contextualSpacing/>
        <w:jc w:val="both"/>
        <w:rPr>
          <w:rFonts w:ascii="Tahoma" w:hAnsi="Tahoma" w:cs="Tahoma"/>
          <w:sz w:val="23"/>
          <w:szCs w:val="23"/>
          <w:lang w:val="es-MX"/>
        </w:rPr>
      </w:pPr>
      <w:r w:rsidRPr="00383E91">
        <w:rPr>
          <w:rFonts w:ascii="Tahoma" w:hAnsi="Tahoma" w:cs="Tahoma"/>
          <w:color w:val="000000"/>
          <w:sz w:val="23"/>
          <w:szCs w:val="23"/>
        </w:rPr>
        <w:t>Al respecto, cabe precisar que lo señalado por el Postor carece de sustento, toda vez que a pesar que el documento cuestionado no haya sido necesario para acreditar factores de evaluación o no le haya otorgado ventaja sobre los demás postores, no obstante ello, dichas circunstancias no eximen de responsabilidad del Postor por la presentación de documentación falsa, toda vez que dicha infracción se configura con la sola presentación del documento falso o inexacto, sin que la norma exija otros factores adicionales; es decir, con la sola afectación del Principio de Presunción de Veracidad</w:t>
      </w:r>
      <w:r w:rsidRPr="00383E91">
        <w:rPr>
          <w:rStyle w:val="Refdenotaalpie"/>
          <w:rFonts w:ascii="Tahoma" w:hAnsi="Tahoma"/>
          <w:color w:val="000000"/>
          <w:sz w:val="23"/>
          <w:szCs w:val="23"/>
        </w:rPr>
        <w:footnoteReference w:id="4"/>
      </w:r>
      <w:r w:rsidRPr="00383E91">
        <w:rPr>
          <w:rFonts w:ascii="Tahoma" w:hAnsi="Tahoma" w:cs="Tahoma"/>
          <w:color w:val="0048C0"/>
          <w:sz w:val="23"/>
          <w:szCs w:val="23"/>
          <w:vertAlign w:val="superscript"/>
        </w:rPr>
        <w:t xml:space="preserve"> </w:t>
      </w:r>
      <w:r w:rsidRPr="00383E91">
        <w:rPr>
          <w:rFonts w:ascii="Tahoma" w:hAnsi="Tahoma" w:cs="Tahoma"/>
          <w:color w:val="000000"/>
          <w:sz w:val="23"/>
          <w:szCs w:val="23"/>
        </w:rPr>
        <w:t>consagrado en el acápite 1.7 del Artículo IV del Título Preliminar de la Ley Nº 27444, del Procedimiento Administrativo General.</w:t>
      </w:r>
    </w:p>
    <w:p w:rsidR="00180B0D" w:rsidRPr="00383E91" w:rsidRDefault="00180B0D" w:rsidP="00180B0D">
      <w:pPr>
        <w:pStyle w:val="Prrafodelista"/>
        <w:widowControl/>
        <w:suppressAutoHyphens w:val="0"/>
        <w:ind w:left="567"/>
        <w:contextualSpacing/>
        <w:jc w:val="both"/>
        <w:rPr>
          <w:rFonts w:ascii="Tahoma" w:hAnsi="Tahoma" w:cs="Tahoma"/>
          <w:sz w:val="23"/>
          <w:szCs w:val="23"/>
          <w:lang w:val="es-MX"/>
        </w:rPr>
      </w:pPr>
    </w:p>
    <w:p w:rsidR="00180B0D" w:rsidRPr="00383E91" w:rsidRDefault="00180B0D" w:rsidP="00180B0D">
      <w:pPr>
        <w:pStyle w:val="Prrafodelista"/>
        <w:widowControl/>
        <w:numPr>
          <w:ilvl w:val="0"/>
          <w:numId w:val="8"/>
        </w:numPr>
        <w:suppressAutoHyphens w:val="0"/>
        <w:ind w:left="567" w:hanging="567"/>
        <w:contextualSpacing/>
        <w:jc w:val="both"/>
        <w:rPr>
          <w:rFonts w:ascii="Tahoma" w:hAnsi="Tahoma" w:cs="Tahoma"/>
          <w:sz w:val="23"/>
          <w:szCs w:val="23"/>
          <w:lang w:val="es-PE"/>
        </w:rPr>
      </w:pPr>
      <w:r w:rsidRPr="00383E91">
        <w:rPr>
          <w:rFonts w:ascii="Tahoma" w:hAnsi="Tahoma" w:cs="Tahoma"/>
          <w:sz w:val="23"/>
          <w:szCs w:val="23"/>
        </w:rPr>
        <w:t xml:space="preserve">Así, pues, habiéndose advertido la afectación del </w:t>
      </w:r>
      <w:r w:rsidRPr="00383E91">
        <w:rPr>
          <w:rFonts w:ascii="Tahoma" w:hAnsi="Tahoma" w:cs="Tahoma"/>
          <w:i/>
          <w:sz w:val="23"/>
          <w:szCs w:val="23"/>
        </w:rPr>
        <w:t>Principio de Presunción de Veracidad</w:t>
      </w:r>
      <w:r w:rsidRPr="00383E91">
        <w:rPr>
          <w:rFonts w:ascii="Tahoma" w:hAnsi="Tahoma" w:cs="Tahoma"/>
          <w:sz w:val="23"/>
          <w:szCs w:val="23"/>
        </w:rPr>
        <w:t xml:space="preserve">  y del </w:t>
      </w:r>
      <w:r w:rsidRPr="00383E91">
        <w:rPr>
          <w:rFonts w:ascii="Tahoma" w:hAnsi="Tahoma" w:cs="Tahoma"/>
          <w:i/>
          <w:sz w:val="23"/>
          <w:szCs w:val="23"/>
        </w:rPr>
        <w:t>Principio de Moralidad</w:t>
      </w:r>
      <w:r w:rsidRPr="00383E91">
        <w:rPr>
          <w:rFonts w:ascii="Tahoma" w:hAnsi="Tahoma" w:cs="Tahoma"/>
          <w:sz w:val="23"/>
          <w:szCs w:val="23"/>
        </w:rPr>
        <w:t xml:space="preserve">  por parte del Postor, se ha configurado la infracción tipificada </w:t>
      </w:r>
      <w:r w:rsidRPr="00383E91">
        <w:rPr>
          <w:rFonts w:ascii="Tahoma" w:hAnsi="Tahoma" w:cs="Tahoma"/>
          <w:sz w:val="23"/>
          <w:szCs w:val="23"/>
          <w:lang w:val="es-PE"/>
        </w:rPr>
        <w:t>en el literal i) del numeral 51.1 del artículo 51 de la Ley, así como el literal i) del numeral 1 del artículo 237 del Reglamento</w:t>
      </w:r>
      <w:r w:rsidRPr="00383E91">
        <w:rPr>
          <w:rFonts w:ascii="Tahoma" w:hAnsi="Tahoma" w:cs="Tahoma"/>
          <w:sz w:val="23"/>
          <w:szCs w:val="23"/>
        </w:rPr>
        <w:t>, existiendo mérito suficiente para imponer la correspondiente sanción administrativa.</w:t>
      </w:r>
    </w:p>
    <w:p w:rsidR="00180B0D" w:rsidRPr="00383E91" w:rsidRDefault="00180B0D" w:rsidP="00180B0D">
      <w:pPr>
        <w:pStyle w:val="Prrafodelista"/>
        <w:ind w:left="567"/>
        <w:rPr>
          <w:rFonts w:ascii="Tahoma" w:hAnsi="Tahoma" w:cs="Tahoma"/>
          <w:sz w:val="23"/>
          <w:szCs w:val="23"/>
          <w:lang w:val="es-PE"/>
        </w:rPr>
      </w:pPr>
    </w:p>
    <w:p w:rsidR="00180B0D" w:rsidRPr="00383E91" w:rsidRDefault="00180B0D" w:rsidP="00180B0D">
      <w:pPr>
        <w:pStyle w:val="Prrafodelista"/>
        <w:widowControl/>
        <w:numPr>
          <w:ilvl w:val="0"/>
          <w:numId w:val="8"/>
        </w:numPr>
        <w:suppressAutoHyphens w:val="0"/>
        <w:ind w:left="567" w:hanging="567"/>
        <w:contextualSpacing/>
        <w:jc w:val="both"/>
        <w:rPr>
          <w:rFonts w:ascii="Tahoma" w:hAnsi="Tahoma" w:cs="Tahoma"/>
          <w:sz w:val="23"/>
          <w:szCs w:val="23"/>
          <w:lang w:val="es-PE"/>
        </w:rPr>
      </w:pPr>
      <w:r w:rsidRPr="00383E91">
        <w:rPr>
          <w:rFonts w:ascii="Tahoma" w:hAnsi="Tahoma" w:cs="Tahoma"/>
          <w:sz w:val="23"/>
          <w:szCs w:val="23"/>
        </w:rPr>
        <w:t>En relación a la graduación de la sanción imponible, el numeral 51.2 del artículo 51 y 237 de la Ley y del Reglamento, respectivamente, establecen que los agentes privados de la contratación que presenten documentos falsos o inexactos serán sancionados con inhabilitación temporal para contratar con el Estado por un periodo no menor de uno (1) año ni mayor de (3) tres años, la cual deberá imponerse atendiendo a los criterios para graduar la sanción establecidos en el artículo 245 del Reglamento</w:t>
      </w:r>
      <w:r w:rsidRPr="00383E91">
        <w:rPr>
          <w:rStyle w:val="Refdenotaalpie"/>
          <w:rFonts w:ascii="Tahoma" w:hAnsi="Tahoma" w:cs="Tahoma"/>
          <w:sz w:val="23"/>
          <w:szCs w:val="23"/>
        </w:rPr>
        <w:footnoteReference w:id="5"/>
      </w:r>
      <w:r w:rsidRPr="00383E91">
        <w:rPr>
          <w:rFonts w:ascii="Tahoma" w:hAnsi="Tahoma" w:cs="Tahoma"/>
          <w:sz w:val="23"/>
          <w:szCs w:val="23"/>
        </w:rPr>
        <w:t>.</w:t>
      </w:r>
    </w:p>
    <w:p w:rsidR="00180B0D" w:rsidRPr="00383E91" w:rsidRDefault="00180B0D" w:rsidP="00180B0D">
      <w:pPr>
        <w:pStyle w:val="Prrafodelista"/>
        <w:ind w:left="567"/>
        <w:rPr>
          <w:rFonts w:ascii="Tahoma" w:hAnsi="Tahoma" w:cs="Tahoma"/>
          <w:sz w:val="23"/>
          <w:szCs w:val="23"/>
        </w:rPr>
      </w:pPr>
    </w:p>
    <w:p w:rsidR="00180B0D" w:rsidRPr="00383E91" w:rsidRDefault="00180B0D" w:rsidP="00180B0D">
      <w:pPr>
        <w:pStyle w:val="Prrafodelista"/>
        <w:widowControl/>
        <w:numPr>
          <w:ilvl w:val="0"/>
          <w:numId w:val="8"/>
        </w:numPr>
        <w:suppressAutoHyphens w:val="0"/>
        <w:ind w:left="567" w:hanging="567"/>
        <w:contextualSpacing/>
        <w:jc w:val="both"/>
        <w:rPr>
          <w:rFonts w:ascii="Tahoma" w:hAnsi="Tahoma" w:cs="Tahoma"/>
          <w:sz w:val="23"/>
          <w:szCs w:val="23"/>
          <w:lang w:val="es-PE"/>
        </w:rPr>
      </w:pPr>
      <w:r w:rsidRPr="00383E91">
        <w:rPr>
          <w:rFonts w:ascii="Tahoma" w:hAnsi="Tahoma" w:cs="Tahoma"/>
          <w:sz w:val="23"/>
          <w:szCs w:val="23"/>
        </w:rPr>
        <w:t xml:space="preserve">De esta manera, atendiendo a la naturaleza de la infracción, debe tenerse en cuenta que ésta reviste una considerable gravedad pues vulnera el </w:t>
      </w:r>
      <w:r w:rsidRPr="00383E91">
        <w:rPr>
          <w:rFonts w:ascii="Tahoma" w:hAnsi="Tahoma" w:cs="Tahoma"/>
          <w:i/>
          <w:sz w:val="23"/>
          <w:szCs w:val="23"/>
        </w:rPr>
        <w:t>Principio de Moralidad</w:t>
      </w:r>
      <w:r w:rsidRPr="00383E91">
        <w:rPr>
          <w:rFonts w:ascii="Tahoma" w:hAnsi="Tahoma" w:cs="Tahoma"/>
          <w:sz w:val="23"/>
          <w:szCs w:val="23"/>
        </w:rPr>
        <w:t xml:space="preserve"> que debe regir a todos los actos vinculados a las contrataciones públicas, conforme a lo prescrito en el literal b) del artículo 4 de la Ley.  Por lo demás, dicho principio, junto a la </w:t>
      </w:r>
      <w:r w:rsidRPr="00383E91">
        <w:rPr>
          <w:rFonts w:ascii="Tahoma" w:hAnsi="Tahoma" w:cs="Tahoma"/>
          <w:i/>
          <w:sz w:val="23"/>
          <w:szCs w:val="23"/>
        </w:rPr>
        <w:t>Fe Pública</w:t>
      </w:r>
      <w:r w:rsidRPr="00383E91">
        <w:rPr>
          <w:rFonts w:ascii="Tahoma" w:hAnsi="Tahoma" w:cs="Tahoma"/>
          <w:sz w:val="23"/>
          <w:szCs w:val="23"/>
        </w:rPr>
        <w:t>, constituyen bienes jurídicos merecedores de protección especial, pues constituyen los pilares que rigen las relaciones suscitadas entre la Administración Pública y los administrados.</w:t>
      </w:r>
    </w:p>
    <w:p w:rsidR="00180B0D" w:rsidRPr="00383E91" w:rsidRDefault="00180B0D" w:rsidP="00180B0D">
      <w:pPr>
        <w:pStyle w:val="Prrafodelista"/>
        <w:rPr>
          <w:rFonts w:ascii="Tahoma" w:hAnsi="Tahoma" w:cs="Tahoma"/>
          <w:sz w:val="23"/>
          <w:szCs w:val="23"/>
          <w:lang w:val="es-PE"/>
        </w:rPr>
      </w:pPr>
    </w:p>
    <w:p w:rsidR="00180B0D" w:rsidRPr="00383E91" w:rsidRDefault="00180B0D" w:rsidP="00180B0D">
      <w:pPr>
        <w:pStyle w:val="Prrafodelista"/>
        <w:widowControl/>
        <w:numPr>
          <w:ilvl w:val="0"/>
          <w:numId w:val="8"/>
        </w:numPr>
        <w:suppressAutoHyphens w:val="0"/>
        <w:ind w:left="567" w:hanging="567"/>
        <w:contextualSpacing/>
        <w:jc w:val="both"/>
        <w:rPr>
          <w:rFonts w:ascii="Tahoma" w:hAnsi="Tahoma" w:cs="Tahoma"/>
          <w:sz w:val="23"/>
          <w:szCs w:val="23"/>
          <w:lang w:val="es-PE"/>
        </w:rPr>
      </w:pPr>
      <w:r w:rsidRPr="00383E91">
        <w:rPr>
          <w:rFonts w:ascii="Tahoma" w:hAnsi="Tahoma" w:cs="Tahoma"/>
          <w:sz w:val="23"/>
          <w:szCs w:val="23"/>
          <w:lang w:val="es-PE"/>
        </w:rPr>
        <w:t xml:space="preserve">En relación a la intencionalidad del infractor, </w:t>
      </w:r>
      <w:r w:rsidRPr="00383E91">
        <w:rPr>
          <w:rFonts w:ascii="Tahoma" w:eastAsia="Calibri" w:hAnsi="Tahoma" w:cs="Tahoma"/>
          <w:sz w:val="23"/>
          <w:szCs w:val="23"/>
          <w:lang w:eastAsia="en-US"/>
        </w:rPr>
        <w:t xml:space="preserve">debe tenerse en cuenta que tal como lo señalo el Postor en su escrito de descargos, que si no hubiera incluido el </w:t>
      </w:r>
      <w:r w:rsidRPr="00383E91">
        <w:rPr>
          <w:rFonts w:ascii="Tahoma" w:hAnsi="Tahoma" w:cs="Tahoma"/>
          <w:sz w:val="23"/>
          <w:szCs w:val="23"/>
        </w:rPr>
        <w:t>CERTIFICADO DE CONFORMIDAD DE CALIDAD DEL BIEN de la entrega de los bienes detallados en la Factura 001 Nº 0008028, de fecha 01 de noviembre del 2006, junto con dicha factura, hubiera obtenido el máximo puntaje tanto en la experiencia del postor como en el cumplimiento de la prestación.</w:t>
      </w:r>
    </w:p>
    <w:p w:rsidR="00180B0D" w:rsidRPr="00383E91" w:rsidRDefault="00180B0D" w:rsidP="00180B0D">
      <w:pPr>
        <w:pStyle w:val="Prrafodelista"/>
        <w:rPr>
          <w:rFonts w:ascii="Tahoma" w:hAnsi="Tahoma" w:cs="Tahoma"/>
          <w:sz w:val="23"/>
          <w:szCs w:val="23"/>
          <w:lang w:val="es-PE"/>
        </w:rPr>
      </w:pPr>
    </w:p>
    <w:p w:rsidR="00180B0D" w:rsidRPr="00383E91" w:rsidRDefault="00180B0D" w:rsidP="00180B0D">
      <w:pPr>
        <w:pStyle w:val="Prrafodelista"/>
        <w:widowControl/>
        <w:numPr>
          <w:ilvl w:val="0"/>
          <w:numId w:val="8"/>
        </w:numPr>
        <w:suppressAutoHyphens w:val="0"/>
        <w:ind w:left="567" w:hanging="567"/>
        <w:contextualSpacing/>
        <w:jc w:val="both"/>
        <w:rPr>
          <w:rFonts w:ascii="Tahoma" w:hAnsi="Tahoma" w:cs="Tahoma"/>
          <w:sz w:val="23"/>
          <w:szCs w:val="23"/>
          <w:lang w:val="es-PE"/>
        </w:rPr>
      </w:pPr>
      <w:r w:rsidRPr="00383E91">
        <w:rPr>
          <w:rFonts w:ascii="Tahoma" w:hAnsi="Tahoma" w:cs="Tahoma"/>
          <w:sz w:val="23"/>
          <w:szCs w:val="23"/>
        </w:rPr>
        <w:t>También, se debe tener presente que el daño causado surge con la sola configuración de la causal tipificada como sancionable, puesto que, el solo hecho de establecer causales de aplicación de sanción, supone que su realización conlleva a un menoscabo o detrimento en los fines de la Entidad.</w:t>
      </w:r>
    </w:p>
    <w:p w:rsidR="00180B0D" w:rsidRPr="00383E91" w:rsidRDefault="00180B0D" w:rsidP="00180B0D">
      <w:pPr>
        <w:pStyle w:val="Prrafodelista"/>
        <w:rPr>
          <w:rFonts w:ascii="Tahoma" w:hAnsi="Tahoma" w:cs="Tahoma"/>
          <w:sz w:val="23"/>
          <w:szCs w:val="23"/>
          <w:lang w:val="es-PE"/>
        </w:rPr>
      </w:pPr>
    </w:p>
    <w:p w:rsidR="00180B0D" w:rsidRPr="00383E91" w:rsidRDefault="00180B0D" w:rsidP="00180B0D">
      <w:pPr>
        <w:pStyle w:val="Prrafodelista"/>
        <w:widowControl/>
        <w:numPr>
          <w:ilvl w:val="0"/>
          <w:numId w:val="8"/>
        </w:numPr>
        <w:suppressAutoHyphens w:val="0"/>
        <w:ind w:left="567" w:hanging="567"/>
        <w:contextualSpacing/>
        <w:jc w:val="both"/>
        <w:rPr>
          <w:rFonts w:ascii="Tahoma" w:hAnsi="Tahoma" w:cs="Tahoma"/>
          <w:sz w:val="23"/>
          <w:szCs w:val="23"/>
          <w:lang w:val="es-PE"/>
        </w:rPr>
      </w:pPr>
      <w:r w:rsidRPr="00383E91">
        <w:rPr>
          <w:rFonts w:ascii="Tahoma" w:hAnsi="Tahoma" w:cs="Tahoma"/>
          <w:sz w:val="23"/>
          <w:szCs w:val="23"/>
        </w:rPr>
        <w:t>Asimismo, se debe señalar que el Postor no ha sido sancionado en anteriores oportunidades por este Tribunal.</w:t>
      </w:r>
    </w:p>
    <w:p w:rsidR="00180B0D" w:rsidRPr="00383E91" w:rsidRDefault="00180B0D" w:rsidP="00180B0D">
      <w:pPr>
        <w:pStyle w:val="Prrafodelista"/>
        <w:widowControl/>
        <w:suppressAutoHyphens w:val="0"/>
        <w:ind w:left="567"/>
        <w:contextualSpacing/>
        <w:jc w:val="both"/>
        <w:rPr>
          <w:rFonts w:ascii="Tahoma" w:hAnsi="Tahoma" w:cs="Tahoma"/>
          <w:sz w:val="23"/>
          <w:szCs w:val="23"/>
        </w:rPr>
      </w:pPr>
    </w:p>
    <w:p w:rsidR="00180B0D" w:rsidRPr="00383E91" w:rsidRDefault="00180B0D" w:rsidP="00180B0D">
      <w:pPr>
        <w:pStyle w:val="Prrafodelista"/>
        <w:widowControl/>
        <w:numPr>
          <w:ilvl w:val="0"/>
          <w:numId w:val="8"/>
        </w:numPr>
        <w:suppressAutoHyphens w:val="0"/>
        <w:ind w:left="567" w:hanging="567"/>
        <w:contextualSpacing/>
        <w:jc w:val="both"/>
        <w:rPr>
          <w:rFonts w:ascii="Tahoma" w:hAnsi="Tahoma" w:cs="Tahoma"/>
          <w:sz w:val="23"/>
          <w:szCs w:val="23"/>
          <w:lang w:val="es-PE"/>
        </w:rPr>
      </w:pPr>
      <w:r w:rsidRPr="00383E91">
        <w:rPr>
          <w:rFonts w:ascii="Tahoma" w:hAnsi="Tahoma" w:cs="Tahoma"/>
          <w:sz w:val="23"/>
          <w:szCs w:val="23"/>
        </w:rPr>
        <w:t xml:space="preserve">Resulta importante traer a colación, además, el </w:t>
      </w:r>
      <w:r w:rsidRPr="00383E91">
        <w:rPr>
          <w:rFonts w:ascii="Tahoma" w:hAnsi="Tahoma" w:cs="Tahoma"/>
          <w:i/>
          <w:sz w:val="23"/>
          <w:szCs w:val="23"/>
        </w:rPr>
        <w:t>Principio de Razonabilidad</w:t>
      </w:r>
      <w:r w:rsidRPr="00383E91">
        <w:rPr>
          <w:rFonts w:ascii="Tahoma" w:hAnsi="Tahoma" w:cs="Tahoma"/>
          <w:sz w:val="23"/>
          <w:szCs w:val="23"/>
        </w:rPr>
        <w:t xml:space="preserve"> consagrado en el numeral 1.4 del Artículo IV del Título Preliminar de la Ley del Procedimiento Administrativo General, por medio del cual las decisiones de la autoridad administrativa que impongan sanciones o establezcan restricciones a los administrados deben adoptarse dentro de los límites de la facultad atribuida y manteniendo debida proporción entre los medios a emplear y los fines públicos que deba tutelar, a fin que respondan a lo estrictamente necesario para la satisfacción de su cometido.</w:t>
      </w:r>
    </w:p>
    <w:p w:rsidR="00180B0D" w:rsidRPr="00383E91" w:rsidRDefault="00180B0D" w:rsidP="00180B0D">
      <w:pPr>
        <w:pStyle w:val="Prrafodelista"/>
        <w:ind w:left="567"/>
        <w:rPr>
          <w:rFonts w:ascii="Tahoma" w:hAnsi="Tahoma" w:cs="Tahoma"/>
          <w:sz w:val="23"/>
          <w:szCs w:val="23"/>
          <w:lang w:val="es-PE"/>
        </w:rPr>
      </w:pPr>
    </w:p>
    <w:p w:rsidR="00180B0D" w:rsidRPr="00383E91" w:rsidRDefault="00180B0D" w:rsidP="00180B0D">
      <w:pPr>
        <w:pStyle w:val="Prrafodelista"/>
        <w:widowControl/>
        <w:numPr>
          <w:ilvl w:val="0"/>
          <w:numId w:val="8"/>
        </w:numPr>
        <w:suppressAutoHyphens w:val="0"/>
        <w:ind w:left="567" w:hanging="567"/>
        <w:contextualSpacing/>
        <w:jc w:val="both"/>
        <w:rPr>
          <w:rFonts w:ascii="Tahoma" w:hAnsi="Tahoma" w:cs="Tahoma"/>
          <w:sz w:val="23"/>
          <w:szCs w:val="23"/>
          <w:lang w:val="es-PE"/>
        </w:rPr>
      </w:pPr>
      <w:r w:rsidRPr="00383E91">
        <w:rPr>
          <w:rFonts w:ascii="Tahoma" w:hAnsi="Tahoma" w:cs="Tahoma"/>
          <w:sz w:val="23"/>
          <w:szCs w:val="23"/>
        </w:rPr>
        <w:t>En el marco de tales criterios de graduación, este Colegiado considera que corresponde imponer al Postor la sanción administrativa de inhabilitación temporal en sus derechos para participar en procesos de selección y contratar con el Estado, por el periodo de doce (12) meses.</w:t>
      </w:r>
    </w:p>
    <w:p w:rsidR="00180B0D" w:rsidRPr="00383E91" w:rsidRDefault="00180B0D" w:rsidP="00180B0D">
      <w:pPr>
        <w:pStyle w:val="Prrafodelista"/>
        <w:rPr>
          <w:rFonts w:ascii="Tahoma" w:hAnsi="Tahoma" w:cs="Tahoma"/>
          <w:sz w:val="23"/>
          <w:szCs w:val="23"/>
          <w:lang w:val="es-PE"/>
        </w:rPr>
      </w:pPr>
    </w:p>
    <w:p w:rsidR="00180B0D" w:rsidRPr="00383E91" w:rsidRDefault="00180B0D" w:rsidP="00383E91">
      <w:pPr>
        <w:pStyle w:val="Prrafodelista"/>
        <w:widowControl/>
        <w:numPr>
          <w:ilvl w:val="0"/>
          <w:numId w:val="8"/>
        </w:numPr>
        <w:suppressAutoHyphens w:val="0"/>
        <w:ind w:hanging="502"/>
        <w:contextualSpacing/>
        <w:jc w:val="both"/>
        <w:rPr>
          <w:rFonts w:ascii="Tahoma" w:hAnsi="Tahoma" w:cs="Tahoma"/>
          <w:sz w:val="23"/>
          <w:szCs w:val="23"/>
        </w:rPr>
      </w:pPr>
      <w:r w:rsidRPr="00383E91">
        <w:rPr>
          <w:rFonts w:ascii="Tahoma" w:hAnsi="Tahoma" w:cs="Tahoma"/>
          <w:sz w:val="23"/>
          <w:szCs w:val="23"/>
        </w:rPr>
        <w:lastRenderedPageBreak/>
        <w:t>Finalmente, es pertinente indicar que la falsificación de documentos constituye un ilícito penal, previsto y sancionado en el artículo 427 del Código Penal</w:t>
      </w:r>
      <w:r w:rsidRPr="00383E91">
        <w:rPr>
          <w:rStyle w:val="Refdenotaalpie"/>
          <w:rFonts w:ascii="Tahoma" w:hAnsi="Tahoma" w:cs="Tahoma"/>
          <w:sz w:val="23"/>
          <w:szCs w:val="23"/>
        </w:rPr>
        <w:footnoteReference w:id="6"/>
      </w:r>
      <w:r w:rsidRPr="00383E91">
        <w:rPr>
          <w:rFonts w:ascii="Tahoma" w:hAnsi="Tahoma" w:cs="Tahoma"/>
          <w:sz w:val="23"/>
          <w:szCs w:val="23"/>
        </w:rPr>
        <w:t>, el cual tutela como bien jurídico la fe pública y la funcionalidad del documento en el tráfico jurídico y trata de evitar perjuicios que afecten la confiabilidad especialmente en las adquisiciones que realiza el Estado; por tanto, deberá ponerse en conocimiento Ministerio Público los actuados del presente procedimientos para que proceda conforme a Ley</w:t>
      </w:r>
      <w:r w:rsidRPr="00383E91">
        <w:rPr>
          <w:rStyle w:val="Refdenotaalpie"/>
          <w:rFonts w:ascii="Tahoma" w:hAnsi="Tahoma" w:cs="Tahoma"/>
          <w:sz w:val="23"/>
          <w:szCs w:val="23"/>
        </w:rPr>
        <w:footnoteReference w:id="7"/>
      </w:r>
      <w:r w:rsidRPr="00383E91">
        <w:rPr>
          <w:rFonts w:ascii="Tahoma" w:hAnsi="Tahoma" w:cs="Tahoma"/>
          <w:sz w:val="23"/>
          <w:szCs w:val="23"/>
        </w:rPr>
        <w:t>.</w:t>
      </w:r>
    </w:p>
    <w:p w:rsidR="00180B0D" w:rsidRPr="00383E91" w:rsidRDefault="00180B0D" w:rsidP="00180B0D">
      <w:pPr>
        <w:jc w:val="both"/>
        <w:rPr>
          <w:rFonts w:ascii="Tahoma" w:hAnsi="Tahoma" w:cs="Tahoma"/>
          <w:sz w:val="23"/>
          <w:szCs w:val="23"/>
          <w:lang w:val="es-ES_tradnl"/>
        </w:rPr>
      </w:pPr>
    </w:p>
    <w:p w:rsidR="00180B0D" w:rsidRPr="00383E91" w:rsidRDefault="00180B0D" w:rsidP="00180B0D">
      <w:pPr>
        <w:tabs>
          <w:tab w:val="left" w:pos="3544"/>
          <w:tab w:val="left" w:pos="7230"/>
          <w:tab w:val="left" w:pos="8505"/>
        </w:tabs>
        <w:ind w:right="-486" w:firstLine="567"/>
        <w:jc w:val="both"/>
        <w:rPr>
          <w:rFonts w:ascii="Tahoma" w:eastAsiaTheme="minorHAnsi" w:hAnsi="Tahoma" w:cs="Tahoma"/>
          <w:color w:val="000000"/>
          <w:sz w:val="23"/>
          <w:szCs w:val="23"/>
        </w:rPr>
      </w:pPr>
      <w:r w:rsidRPr="00383E91">
        <w:rPr>
          <w:rFonts w:ascii="Tahoma" w:hAnsi="Tahoma" w:cs="Tahoma"/>
          <w:sz w:val="23"/>
          <w:szCs w:val="23"/>
        </w:rPr>
        <w:t xml:space="preserve">Por estos fundamentos, </w:t>
      </w:r>
      <w:r w:rsidRPr="00383E91">
        <w:rPr>
          <w:rFonts w:ascii="Tahoma" w:hAnsi="Tahoma" w:cs="Tahoma"/>
          <w:color w:val="000000"/>
          <w:sz w:val="23"/>
          <w:szCs w:val="23"/>
        </w:rPr>
        <w:t>de conformidad con el inf</w:t>
      </w:r>
      <w:r w:rsidRPr="00383E91">
        <w:rPr>
          <w:rFonts w:ascii="Tahoma" w:eastAsia="Calibri" w:hAnsi="Tahoma" w:cs="Tahoma"/>
          <w:color w:val="000000"/>
          <w:sz w:val="23"/>
          <w:szCs w:val="23"/>
        </w:rPr>
        <w:t xml:space="preserve">orme de la Vocal Ponente Dra. Ada Rosa Basulto Liewald y la intervención de los Señores Vocales </w:t>
      </w:r>
      <w:r w:rsidRPr="00383E91">
        <w:rPr>
          <w:rFonts w:ascii="Tahoma" w:eastAsiaTheme="minorHAnsi" w:hAnsi="Tahoma" w:cs="Tahoma"/>
          <w:color w:val="000000"/>
          <w:sz w:val="23"/>
          <w:szCs w:val="23"/>
        </w:rPr>
        <w:t xml:space="preserve">Dr. Carlos Vicente Navas Rondón y </w:t>
      </w:r>
      <w:r w:rsidRPr="00383E91">
        <w:rPr>
          <w:rFonts w:ascii="Tahoma" w:eastAsia="Calibri" w:hAnsi="Tahoma" w:cs="Tahoma"/>
          <w:color w:val="000000"/>
          <w:sz w:val="23"/>
          <w:szCs w:val="23"/>
        </w:rPr>
        <w:t xml:space="preserve">Dra. Janette Elke Ramírez Maynetto; </w:t>
      </w:r>
      <w:r w:rsidRPr="00383E91">
        <w:rPr>
          <w:rFonts w:ascii="Tahoma" w:eastAsiaTheme="minorHAnsi" w:hAnsi="Tahoma" w:cs="Tahoma"/>
          <w:color w:val="000000"/>
          <w:sz w:val="23"/>
          <w:szCs w:val="23"/>
        </w:rPr>
        <w:t>atendiendo a la reconformación de la Primera Sala del Tribunal de contrataciones y Adquisiciones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180B0D" w:rsidRPr="00383E91" w:rsidRDefault="00180B0D" w:rsidP="00180B0D">
      <w:pPr>
        <w:ind w:firstLine="426"/>
        <w:jc w:val="both"/>
        <w:rPr>
          <w:rFonts w:ascii="Tahoma" w:hAnsi="Tahoma" w:cs="Tahoma"/>
          <w:sz w:val="23"/>
          <w:szCs w:val="23"/>
        </w:rPr>
      </w:pPr>
    </w:p>
    <w:p w:rsidR="00180B0D" w:rsidRPr="00383E91" w:rsidRDefault="00180B0D" w:rsidP="00180B0D">
      <w:pPr>
        <w:ind w:firstLine="567"/>
        <w:jc w:val="both"/>
        <w:rPr>
          <w:rFonts w:ascii="Tahoma" w:hAnsi="Tahoma" w:cs="Tahoma"/>
          <w:b/>
          <w:sz w:val="23"/>
          <w:szCs w:val="23"/>
        </w:rPr>
      </w:pPr>
      <w:r w:rsidRPr="00383E91">
        <w:rPr>
          <w:rFonts w:ascii="Tahoma" w:hAnsi="Tahoma" w:cs="Tahoma"/>
          <w:b/>
          <w:sz w:val="23"/>
          <w:szCs w:val="23"/>
        </w:rPr>
        <w:t xml:space="preserve">LA SALA RESUELVE: </w:t>
      </w:r>
    </w:p>
    <w:p w:rsidR="00180B0D" w:rsidRPr="00383E91" w:rsidRDefault="00180B0D" w:rsidP="00180B0D">
      <w:pPr>
        <w:jc w:val="both"/>
        <w:rPr>
          <w:rFonts w:ascii="Tahoma" w:hAnsi="Tahoma" w:cs="Tahoma"/>
          <w:snapToGrid w:val="0"/>
          <w:sz w:val="23"/>
          <w:szCs w:val="23"/>
        </w:rPr>
      </w:pPr>
    </w:p>
    <w:p w:rsidR="00180B0D" w:rsidRPr="00383E91" w:rsidRDefault="00180B0D" w:rsidP="00180B0D">
      <w:pPr>
        <w:numPr>
          <w:ilvl w:val="0"/>
          <w:numId w:val="10"/>
        </w:numPr>
        <w:tabs>
          <w:tab w:val="clear" w:pos="360"/>
          <w:tab w:val="num" w:pos="0"/>
        </w:tabs>
        <w:ind w:left="567" w:hanging="567"/>
        <w:jc w:val="both"/>
        <w:rPr>
          <w:rFonts w:ascii="Tahoma" w:hAnsi="Tahoma" w:cs="Tahoma"/>
          <w:sz w:val="23"/>
          <w:szCs w:val="23"/>
        </w:rPr>
      </w:pPr>
      <w:r w:rsidRPr="00383E91">
        <w:rPr>
          <w:rFonts w:ascii="Tahoma" w:hAnsi="Tahoma" w:cs="Tahoma"/>
          <w:sz w:val="23"/>
          <w:szCs w:val="23"/>
        </w:rPr>
        <w:t>Sancionar a la empresa NTP. NEW TECHNOLOGY PRODUCTS S.R.LTDA</w:t>
      </w:r>
      <w:r w:rsidRPr="00383E91">
        <w:rPr>
          <w:rFonts w:ascii="Tahoma" w:eastAsia="Calibri" w:hAnsi="Tahoma" w:cs="Tahoma"/>
          <w:sz w:val="23"/>
          <w:szCs w:val="23"/>
          <w:lang w:eastAsia="en-US"/>
        </w:rPr>
        <w:t xml:space="preserve"> </w:t>
      </w:r>
      <w:r w:rsidRPr="00383E91">
        <w:rPr>
          <w:rFonts w:ascii="Tahoma" w:hAnsi="Tahoma" w:cs="Tahoma"/>
          <w:sz w:val="23"/>
          <w:szCs w:val="23"/>
        </w:rPr>
        <w:t>con doce (12) meses de inhabilitación temporal para participar en procesos de selección y contratar con el Estado, por la comisión de la infracción tipificada en el literal i) del numeral 51.1 del artículo 51 de la Ley de Contrataciones del Estado y literal i) del numeral 1) del artículo 237 del Reglamento de la Ley de Contrataciones del Estado; sanción que entrará en vigencia a partir del sexto día hábil siguiente de notificada la presente resolución.</w:t>
      </w:r>
    </w:p>
    <w:p w:rsidR="00180B0D" w:rsidRPr="00383E91" w:rsidRDefault="00180B0D" w:rsidP="00180B0D">
      <w:pPr>
        <w:ind w:left="567"/>
        <w:jc w:val="both"/>
        <w:rPr>
          <w:rFonts w:ascii="Tahoma" w:hAnsi="Tahoma" w:cs="Tahoma"/>
          <w:sz w:val="23"/>
          <w:szCs w:val="23"/>
        </w:rPr>
      </w:pPr>
    </w:p>
    <w:p w:rsidR="00180B0D" w:rsidRPr="00383E91" w:rsidRDefault="00180B0D" w:rsidP="00180B0D">
      <w:pPr>
        <w:numPr>
          <w:ilvl w:val="0"/>
          <w:numId w:val="10"/>
        </w:numPr>
        <w:tabs>
          <w:tab w:val="clear" w:pos="360"/>
          <w:tab w:val="num" w:pos="0"/>
        </w:tabs>
        <w:ind w:left="567" w:hanging="567"/>
        <w:jc w:val="both"/>
        <w:rPr>
          <w:rFonts w:ascii="Tahoma" w:hAnsi="Tahoma" w:cs="Tahoma"/>
          <w:sz w:val="23"/>
          <w:szCs w:val="23"/>
        </w:rPr>
      </w:pPr>
      <w:r w:rsidRPr="00383E91">
        <w:rPr>
          <w:rFonts w:ascii="Tahoma" w:hAnsi="Tahoma" w:cs="Tahoma"/>
          <w:sz w:val="23"/>
          <w:szCs w:val="23"/>
        </w:rPr>
        <w:t>Poner la presente resolución en conocimiento de la Subdirección del Registro del Organismo Supervisor de las Contrataciones del Estado (OSCE) para las anotaciones de ley correspondientes.</w:t>
      </w:r>
    </w:p>
    <w:p w:rsidR="00180B0D" w:rsidRPr="00383E91" w:rsidRDefault="00180B0D" w:rsidP="00180B0D">
      <w:pPr>
        <w:pStyle w:val="Prrafodelista"/>
        <w:rPr>
          <w:rFonts w:ascii="Tahoma" w:hAnsi="Tahoma" w:cs="Tahoma"/>
          <w:sz w:val="23"/>
          <w:szCs w:val="23"/>
        </w:rPr>
      </w:pPr>
    </w:p>
    <w:p w:rsidR="00180B0D" w:rsidRPr="00383E91" w:rsidRDefault="00180B0D" w:rsidP="00180B0D">
      <w:pPr>
        <w:numPr>
          <w:ilvl w:val="0"/>
          <w:numId w:val="10"/>
        </w:numPr>
        <w:tabs>
          <w:tab w:val="clear" w:pos="360"/>
          <w:tab w:val="num" w:pos="0"/>
        </w:tabs>
        <w:ind w:left="567" w:hanging="567"/>
        <w:jc w:val="both"/>
        <w:rPr>
          <w:rFonts w:ascii="Tahoma" w:hAnsi="Tahoma" w:cs="Tahoma"/>
          <w:sz w:val="23"/>
          <w:szCs w:val="23"/>
        </w:rPr>
      </w:pPr>
      <w:r w:rsidRPr="00383E91">
        <w:rPr>
          <w:rFonts w:ascii="Tahoma" w:eastAsiaTheme="minorHAnsi" w:hAnsi="Tahoma" w:cs="Tahoma"/>
          <w:color w:val="000000" w:themeColor="text1"/>
          <w:sz w:val="23"/>
          <w:szCs w:val="23"/>
          <w:lang w:eastAsia="en-US"/>
        </w:rPr>
        <w:t>Poner la presente Resolución en conocimiento de la Presidencia Ejecutiva del OSCE para que, en mérito a sus facultades y de considerarlo pertinente, formule la denuncia penal correspondiente ante el Ministerio Público, de acuerdo a los fundamentos expuestos.</w:t>
      </w:r>
    </w:p>
    <w:p w:rsidR="00180B0D" w:rsidRPr="00383E91" w:rsidRDefault="00180B0D" w:rsidP="00180B0D">
      <w:pPr>
        <w:jc w:val="both"/>
        <w:rPr>
          <w:rFonts w:ascii="Tahoma" w:hAnsi="Tahoma" w:cs="Tahoma"/>
          <w:sz w:val="23"/>
          <w:szCs w:val="23"/>
        </w:rPr>
      </w:pPr>
    </w:p>
    <w:p w:rsidR="00180B0D" w:rsidRPr="00383E91" w:rsidRDefault="00180B0D" w:rsidP="00180B0D">
      <w:pPr>
        <w:pStyle w:val="Textoindependiente21"/>
        <w:ind w:firstLine="567"/>
        <w:rPr>
          <w:rFonts w:cs="Tahoma"/>
          <w:sz w:val="23"/>
          <w:szCs w:val="23"/>
        </w:rPr>
      </w:pPr>
      <w:r w:rsidRPr="00383E91">
        <w:rPr>
          <w:rFonts w:cs="Tahoma"/>
          <w:sz w:val="23"/>
          <w:szCs w:val="23"/>
        </w:rPr>
        <w:t>Regístrese, comuníquese y publíquese.</w:t>
      </w:r>
    </w:p>
    <w:p w:rsidR="00180B0D" w:rsidRPr="00383E91" w:rsidRDefault="00180B0D" w:rsidP="00180B0D">
      <w:pPr>
        <w:jc w:val="center"/>
        <w:rPr>
          <w:rFonts w:ascii="Tahoma" w:hAnsi="Tahoma" w:cs="Tahoma"/>
          <w:b/>
          <w:sz w:val="23"/>
          <w:szCs w:val="23"/>
        </w:rPr>
      </w:pPr>
    </w:p>
    <w:p w:rsidR="00180B0D" w:rsidRDefault="00180B0D" w:rsidP="00180B0D">
      <w:pPr>
        <w:jc w:val="center"/>
        <w:rPr>
          <w:rFonts w:ascii="Tahoma" w:hAnsi="Tahoma" w:cs="Tahoma"/>
          <w:b/>
          <w:sz w:val="23"/>
          <w:szCs w:val="23"/>
        </w:rPr>
      </w:pPr>
    </w:p>
    <w:p w:rsidR="00383E91" w:rsidRDefault="00383E91" w:rsidP="00180B0D">
      <w:pPr>
        <w:jc w:val="center"/>
        <w:rPr>
          <w:rFonts w:ascii="Tahoma" w:hAnsi="Tahoma" w:cs="Tahoma"/>
          <w:b/>
          <w:sz w:val="23"/>
          <w:szCs w:val="23"/>
        </w:rPr>
      </w:pPr>
    </w:p>
    <w:p w:rsidR="00383E91" w:rsidRDefault="00383E91" w:rsidP="00180B0D">
      <w:pPr>
        <w:jc w:val="center"/>
        <w:rPr>
          <w:rFonts w:ascii="Tahoma" w:hAnsi="Tahoma" w:cs="Tahoma"/>
          <w:b/>
          <w:sz w:val="23"/>
          <w:szCs w:val="23"/>
        </w:rPr>
      </w:pPr>
    </w:p>
    <w:p w:rsidR="00383E91" w:rsidRDefault="00383E91" w:rsidP="00180B0D">
      <w:pPr>
        <w:jc w:val="center"/>
        <w:rPr>
          <w:rFonts w:ascii="Tahoma" w:hAnsi="Tahoma" w:cs="Tahoma"/>
          <w:b/>
          <w:sz w:val="23"/>
          <w:szCs w:val="23"/>
        </w:rPr>
      </w:pPr>
    </w:p>
    <w:p w:rsidR="00383E91" w:rsidRDefault="00383E91" w:rsidP="00180B0D">
      <w:pPr>
        <w:jc w:val="center"/>
        <w:rPr>
          <w:rFonts w:ascii="Tahoma" w:hAnsi="Tahoma" w:cs="Tahoma"/>
          <w:b/>
          <w:sz w:val="23"/>
          <w:szCs w:val="23"/>
        </w:rPr>
      </w:pPr>
    </w:p>
    <w:p w:rsidR="00383E91" w:rsidRPr="00383E91" w:rsidRDefault="00383E91" w:rsidP="00180B0D">
      <w:pPr>
        <w:jc w:val="center"/>
        <w:rPr>
          <w:rFonts w:ascii="Tahoma" w:hAnsi="Tahoma" w:cs="Tahoma"/>
          <w:b/>
          <w:sz w:val="23"/>
          <w:szCs w:val="23"/>
        </w:rPr>
      </w:pPr>
    </w:p>
    <w:p w:rsidR="00180B0D" w:rsidRPr="00383E91" w:rsidRDefault="00180B0D" w:rsidP="00180B0D">
      <w:pPr>
        <w:jc w:val="center"/>
        <w:rPr>
          <w:rFonts w:ascii="Tahoma" w:hAnsi="Tahoma" w:cs="Tahoma"/>
          <w:b/>
          <w:shadow/>
          <w:sz w:val="23"/>
          <w:szCs w:val="23"/>
          <w:lang w:val="pt-BR"/>
        </w:rPr>
      </w:pPr>
      <w:r w:rsidRPr="00383E91">
        <w:rPr>
          <w:rFonts w:ascii="Tahoma" w:hAnsi="Tahoma" w:cs="Tahoma"/>
          <w:b/>
          <w:shadow/>
          <w:sz w:val="23"/>
          <w:szCs w:val="23"/>
          <w:lang w:val="pt-BR"/>
        </w:rPr>
        <w:t>PRESIDENTE</w:t>
      </w:r>
    </w:p>
    <w:p w:rsidR="00180B0D" w:rsidRPr="00383E91" w:rsidRDefault="00180B0D" w:rsidP="00180B0D">
      <w:pPr>
        <w:ind w:firstLine="708"/>
        <w:rPr>
          <w:rFonts w:ascii="Tahoma" w:hAnsi="Tahoma" w:cs="Tahoma"/>
          <w:b/>
          <w:shadow/>
          <w:sz w:val="23"/>
          <w:szCs w:val="23"/>
          <w:lang w:val="pt-BR"/>
        </w:rPr>
      </w:pPr>
    </w:p>
    <w:p w:rsidR="00180B0D" w:rsidRPr="00383E91" w:rsidRDefault="00180B0D" w:rsidP="00180B0D">
      <w:pPr>
        <w:ind w:firstLine="708"/>
        <w:rPr>
          <w:rFonts w:ascii="Tahoma" w:hAnsi="Tahoma" w:cs="Tahoma"/>
          <w:b/>
          <w:shadow/>
          <w:sz w:val="23"/>
          <w:szCs w:val="23"/>
          <w:lang w:val="pt-BR"/>
        </w:rPr>
      </w:pPr>
      <w:r w:rsidRPr="00383E91">
        <w:rPr>
          <w:rFonts w:ascii="Tahoma" w:hAnsi="Tahoma" w:cs="Tahoma"/>
          <w:b/>
          <w:shadow/>
          <w:sz w:val="23"/>
          <w:szCs w:val="23"/>
          <w:lang w:val="pt-BR"/>
        </w:rPr>
        <w:t xml:space="preserve">VOCAL         </w:t>
      </w:r>
      <w:r w:rsidR="00383E91">
        <w:rPr>
          <w:rFonts w:ascii="Tahoma" w:hAnsi="Tahoma" w:cs="Tahoma"/>
          <w:b/>
          <w:shadow/>
          <w:sz w:val="23"/>
          <w:szCs w:val="23"/>
          <w:lang w:val="pt-BR"/>
        </w:rPr>
        <w:t xml:space="preserve">  </w:t>
      </w:r>
      <w:r w:rsidR="00383E91">
        <w:rPr>
          <w:rFonts w:ascii="Tahoma" w:hAnsi="Tahoma" w:cs="Tahoma"/>
          <w:b/>
          <w:shadow/>
          <w:sz w:val="23"/>
          <w:szCs w:val="23"/>
          <w:lang w:val="pt-BR"/>
        </w:rPr>
        <w:tab/>
      </w:r>
      <w:r w:rsidR="00383E91">
        <w:rPr>
          <w:rFonts w:ascii="Tahoma" w:hAnsi="Tahoma" w:cs="Tahoma"/>
          <w:b/>
          <w:shadow/>
          <w:sz w:val="23"/>
          <w:szCs w:val="23"/>
          <w:lang w:val="pt-BR"/>
        </w:rPr>
        <w:tab/>
        <w:t xml:space="preserve">                 </w:t>
      </w:r>
      <w:r w:rsidRPr="00383E91">
        <w:rPr>
          <w:rFonts w:ascii="Tahoma" w:hAnsi="Tahoma" w:cs="Tahoma"/>
          <w:b/>
          <w:shadow/>
          <w:sz w:val="23"/>
          <w:szCs w:val="23"/>
          <w:lang w:val="pt-BR"/>
        </w:rPr>
        <w:t xml:space="preserve">                                     VOCAL</w:t>
      </w:r>
    </w:p>
    <w:p w:rsidR="00180B0D" w:rsidRPr="00383E91" w:rsidRDefault="00180B0D" w:rsidP="00180B0D">
      <w:pPr>
        <w:rPr>
          <w:rFonts w:ascii="Tahoma" w:hAnsi="Tahoma" w:cs="Tahoma"/>
          <w:sz w:val="23"/>
          <w:szCs w:val="23"/>
          <w:lang w:val="pt-BR"/>
        </w:rPr>
      </w:pPr>
    </w:p>
    <w:p w:rsidR="00180B0D" w:rsidRPr="00383E91" w:rsidRDefault="00180B0D" w:rsidP="00180B0D">
      <w:pPr>
        <w:rPr>
          <w:rFonts w:ascii="Tahoma" w:hAnsi="Tahoma" w:cs="Tahoma"/>
          <w:sz w:val="23"/>
          <w:szCs w:val="23"/>
          <w:lang w:val="pt-BR"/>
        </w:rPr>
      </w:pPr>
    </w:p>
    <w:p w:rsidR="00180B0D" w:rsidRPr="00383E91" w:rsidRDefault="00180B0D" w:rsidP="00180B0D">
      <w:pPr>
        <w:jc w:val="both"/>
        <w:rPr>
          <w:rFonts w:ascii="Tahoma" w:hAnsi="Tahoma" w:cs="Tahoma"/>
          <w:sz w:val="23"/>
          <w:szCs w:val="23"/>
          <w:lang w:val="pt-BR"/>
        </w:rPr>
      </w:pPr>
      <w:r w:rsidRPr="00383E91">
        <w:rPr>
          <w:rFonts w:ascii="Tahoma" w:hAnsi="Tahoma" w:cs="Tahoma"/>
          <w:sz w:val="23"/>
          <w:szCs w:val="23"/>
          <w:lang w:val="pt-BR"/>
        </w:rPr>
        <w:t>ss.</w:t>
      </w:r>
    </w:p>
    <w:p w:rsidR="00180B0D" w:rsidRPr="00383E91" w:rsidRDefault="00180B0D" w:rsidP="00180B0D">
      <w:pPr>
        <w:jc w:val="both"/>
        <w:rPr>
          <w:rFonts w:ascii="Tahoma" w:hAnsi="Tahoma" w:cs="Tahoma"/>
          <w:sz w:val="23"/>
          <w:szCs w:val="23"/>
          <w:lang w:val="pt-BR"/>
        </w:rPr>
      </w:pPr>
      <w:r w:rsidRPr="00383E91">
        <w:rPr>
          <w:rFonts w:ascii="Tahoma" w:hAnsi="Tahoma" w:cs="Tahoma"/>
          <w:sz w:val="23"/>
          <w:szCs w:val="23"/>
          <w:lang w:val="pt-BR"/>
        </w:rPr>
        <w:t>Navas Rondon</w:t>
      </w:r>
    </w:p>
    <w:p w:rsidR="00180B0D" w:rsidRPr="00383E91" w:rsidRDefault="00180B0D" w:rsidP="00180B0D">
      <w:pPr>
        <w:pStyle w:val="Textoindependiente21"/>
        <w:tabs>
          <w:tab w:val="left" w:pos="5250"/>
        </w:tabs>
        <w:rPr>
          <w:rFonts w:cs="Tahoma"/>
          <w:sz w:val="23"/>
          <w:szCs w:val="23"/>
          <w:lang w:val="pt-BR"/>
        </w:rPr>
      </w:pPr>
      <w:r w:rsidRPr="00383E91">
        <w:rPr>
          <w:rFonts w:cs="Tahoma"/>
          <w:sz w:val="23"/>
          <w:szCs w:val="23"/>
          <w:lang w:val="en-US"/>
        </w:rPr>
        <w:t>Ramírez Maynetto.</w:t>
      </w:r>
    </w:p>
    <w:p w:rsidR="00180B0D" w:rsidRPr="00383E91" w:rsidRDefault="00180B0D" w:rsidP="00180B0D">
      <w:pPr>
        <w:pStyle w:val="Textoindependiente21"/>
        <w:tabs>
          <w:tab w:val="left" w:pos="5250"/>
        </w:tabs>
        <w:rPr>
          <w:rFonts w:cs="Tahoma"/>
          <w:sz w:val="23"/>
          <w:szCs w:val="23"/>
          <w:lang w:val="pt-BR"/>
        </w:rPr>
      </w:pPr>
      <w:r w:rsidRPr="00383E91">
        <w:rPr>
          <w:rFonts w:cs="Tahoma"/>
          <w:sz w:val="23"/>
          <w:szCs w:val="23"/>
          <w:lang w:val="pt-BR"/>
        </w:rPr>
        <w:t>Basulto Liewald.</w:t>
      </w:r>
    </w:p>
    <w:p w:rsidR="008B738B" w:rsidRDefault="00F53842"/>
    <w:sectPr w:rsidR="008B738B" w:rsidSect="00180B0D">
      <w:headerReference w:type="default" r:id="rId7"/>
      <w:footerReference w:type="default" r:id="rId8"/>
      <w:pgSz w:w="11906" w:h="16838"/>
      <w:pgMar w:top="3403"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3842" w:rsidRDefault="00F53842" w:rsidP="00180B0D">
      <w:r>
        <w:separator/>
      </w:r>
    </w:p>
  </w:endnote>
  <w:endnote w:type="continuationSeparator" w:id="1">
    <w:p w:rsidR="00F53842" w:rsidRDefault="00F53842" w:rsidP="00180B0D">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76520"/>
      <w:docPartObj>
        <w:docPartGallery w:val="Page Numbers (Bottom of Page)"/>
        <w:docPartUnique/>
      </w:docPartObj>
    </w:sdtPr>
    <w:sdtContent>
      <w:sdt>
        <w:sdtPr>
          <w:id w:val="216747541"/>
          <w:docPartObj>
            <w:docPartGallery w:val="Page Numbers (Top of Page)"/>
            <w:docPartUnique/>
          </w:docPartObj>
        </w:sdtPr>
        <w:sdtContent>
          <w:p w:rsidR="008F257D" w:rsidRDefault="008F257D">
            <w:pPr>
              <w:pStyle w:val="Piedepgina"/>
              <w:jc w:val="center"/>
            </w:pPr>
            <w:r>
              <w:t xml:space="preserve">Página </w:t>
            </w:r>
            <w:r w:rsidR="00A37C5D">
              <w:rPr>
                <w:b/>
              </w:rPr>
              <w:fldChar w:fldCharType="begin"/>
            </w:r>
            <w:r>
              <w:rPr>
                <w:b/>
              </w:rPr>
              <w:instrText>PAGE</w:instrText>
            </w:r>
            <w:r w:rsidR="00A37C5D">
              <w:rPr>
                <w:b/>
              </w:rPr>
              <w:fldChar w:fldCharType="separate"/>
            </w:r>
            <w:r w:rsidR="00D84730">
              <w:rPr>
                <w:b/>
                <w:noProof/>
              </w:rPr>
              <w:t>1</w:t>
            </w:r>
            <w:r w:rsidR="00A37C5D">
              <w:rPr>
                <w:b/>
              </w:rPr>
              <w:fldChar w:fldCharType="end"/>
            </w:r>
            <w:r>
              <w:t xml:space="preserve"> de </w:t>
            </w:r>
            <w:r w:rsidR="00A37C5D">
              <w:rPr>
                <w:b/>
              </w:rPr>
              <w:fldChar w:fldCharType="begin"/>
            </w:r>
            <w:r>
              <w:rPr>
                <w:b/>
              </w:rPr>
              <w:instrText>NUMPAGES</w:instrText>
            </w:r>
            <w:r w:rsidR="00A37C5D">
              <w:rPr>
                <w:b/>
              </w:rPr>
              <w:fldChar w:fldCharType="separate"/>
            </w:r>
            <w:r w:rsidR="00D84730">
              <w:rPr>
                <w:b/>
                <w:noProof/>
              </w:rPr>
              <w:t>8</w:t>
            </w:r>
            <w:r w:rsidR="00A37C5D">
              <w:rPr>
                <w:b/>
              </w:rPr>
              <w:fldChar w:fldCharType="end"/>
            </w:r>
          </w:p>
        </w:sdtContent>
      </w:sdt>
    </w:sdtContent>
  </w:sdt>
  <w:p w:rsidR="008F257D" w:rsidRDefault="008F257D">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3842" w:rsidRDefault="00F53842" w:rsidP="00180B0D">
      <w:r>
        <w:separator/>
      </w:r>
    </w:p>
  </w:footnote>
  <w:footnote w:type="continuationSeparator" w:id="1">
    <w:p w:rsidR="00F53842" w:rsidRDefault="00F53842" w:rsidP="00180B0D">
      <w:r>
        <w:continuationSeparator/>
      </w:r>
    </w:p>
  </w:footnote>
  <w:footnote w:id="2">
    <w:p w:rsidR="00180B0D" w:rsidRPr="00E12D8A" w:rsidRDefault="00180B0D" w:rsidP="00180B0D">
      <w:pPr>
        <w:pStyle w:val="Textonotapie"/>
        <w:rPr>
          <w:rFonts w:ascii="Tahoma" w:hAnsi="Tahoma" w:cs="Tahoma"/>
          <w:sz w:val="16"/>
          <w:szCs w:val="16"/>
        </w:rPr>
      </w:pPr>
      <w:r w:rsidRPr="007C620C">
        <w:rPr>
          <w:rStyle w:val="Refdenotaalpie"/>
          <w:rFonts w:ascii="Tahoma" w:hAnsi="Tahoma" w:cs="Tahoma"/>
        </w:rPr>
        <w:footnoteRef/>
      </w:r>
      <w:r>
        <w:t xml:space="preserve"> </w:t>
      </w:r>
      <w:r w:rsidRPr="00F066D6">
        <w:rPr>
          <w:rFonts w:ascii="Tahoma" w:hAnsi="Tahoma" w:cs="Tahoma"/>
          <w:sz w:val="16"/>
          <w:szCs w:val="16"/>
        </w:rPr>
        <w:t xml:space="preserve">Aprobado por Decreto Legislativo Nº 1017. </w:t>
      </w:r>
    </w:p>
  </w:footnote>
  <w:footnote w:id="3">
    <w:p w:rsidR="00180B0D" w:rsidRPr="00E12D8A" w:rsidRDefault="00180B0D" w:rsidP="00180B0D">
      <w:pPr>
        <w:pStyle w:val="Textonotapie"/>
        <w:rPr>
          <w:rFonts w:ascii="Tahoma" w:hAnsi="Tahoma" w:cs="Tahoma"/>
          <w:sz w:val="16"/>
          <w:szCs w:val="16"/>
        </w:rPr>
      </w:pPr>
      <w:r w:rsidRPr="007C620C">
        <w:rPr>
          <w:rStyle w:val="Refdenotaalpie"/>
          <w:rFonts w:ascii="Tahoma" w:hAnsi="Tahoma" w:cs="Tahoma"/>
        </w:rPr>
        <w:footnoteRef/>
      </w:r>
      <w:r>
        <w:t xml:space="preserve"> </w:t>
      </w:r>
      <w:r w:rsidRPr="00F066D6">
        <w:rPr>
          <w:rFonts w:ascii="Tahoma" w:hAnsi="Tahoma" w:cs="Tahoma"/>
          <w:sz w:val="16"/>
          <w:szCs w:val="16"/>
        </w:rPr>
        <w:t>Aprobado por Decreto Supremo N° 184-2008-EF</w:t>
      </w:r>
      <w:r w:rsidRPr="00E12D8A">
        <w:rPr>
          <w:rFonts w:ascii="Tahoma" w:hAnsi="Tahoma" w:cs="Tahoma"/>
          <w:sz w:val="16"/>
          <w:szCs w:val="16"/>
        </w:rPr>
        <w:t>.</w:t>
      </w:r>
    </w:p>
  </w:footnote>
  <w:footnote w:id="4">
    <w:p w:rsidR="00180B0D" w:rsidRPr="00173A36" w:rsidRDefault="00180B0D" w:rsidP="00180B0D">
      <w:pPr>
        <w:pStyle w:val="Textonotapie"/>
        <w:jc w:val="both"/>
        <w:rPr>
          <w:rFonts w:ascii="Tahoma" w:hAnsi="Tahoma" w:cs="Tahoma"/>
          <w:sz w:val="16"/>
          <w:szCs w:val="16"/>
        </w:rPr>
      </w:pPr>
      <w:r w:rsidRPr="00173A36">
        <w:rPr>
          <w:rStyle w:val="Refdenotaalpie"/>
          <w:rFonts w:ascii="Tahoma" w:hAnsi="Tahoma" w:cs="Tahoma"/>
          <w:sz w:val="16"/>
          <w:szCs w:val="16"/>
        </w:rPr>
        <w:footnoteRef/>
      </w:r>
      <w:r w:rsidRPr="00173A36">
        <w:rPr>
          <w:rFonts w:ascii="Tahoma" w:hAnsi="Tahoma" w:cs="Tahoma"/>
          <w:sz w:val="16"/>
          <w:szCs w:val="16"/>
        </w:rPr>
        <w:t xml:space="preserve"> </w:t>
      </w:r>
      <w:r w:rsidRPr="00173A36">
        <w:rPr>
          <w:rFonts w:ascii="Tahoma" w:hAnsi="Tahoma" w:cs="Tahoma"/>
          <w:i/>
          <w:iCs/>
          <w:color w:val="000000"/>
          <w:sz w:val="16"/>
          <w:szCs w:val="16"/>
          <w:lang w:val="es-ES_tradnl"/>
        </w:rPr>
        <w:t>El Principio de Presunción de Veracidad consiste en “el deber de suponer – por adelantado y con carácter provisorio – que los administrados proceden con verdad en sus actuaciones en el procedimiento que intervengan (rige tanto las relaciones de la Administración Pública con sus agentes como con el público). Sustituye la tradicional duda o escepticismo de la autoridad sobre los administrados”. MORÓN URBINA, Juan Carlos. Comentarios a la Ley del Procedimiento Administrativo General. Cuarta Edición. Lima: Gaceta Jurídica, 2005; pp. 74 -75.</w:t>
      </w:r>
    </w:p>
  </w:footnote>
  <w:footnote w:id="5">
    <w:p w:rsidR="00180B0D" w:rsidRPr="00FD0A7A" w:rsidRDefault="00180B0D" w:rsidP="00180B0D">
      <w:pPr>
        <w:autoSpaceDE w:val="0"/>
        <w:autoSpaceDN w:val="0"/>
        <w:adjustRightInd w:val="0"/>
        <w:jc w:val="both"/>
        <w:rPr>
          <w:rFonts w:ascii="Tahoma" w:hAnsi="Tahoma" w:cs="Tahoma"/>
          <w:b/>
          <w:bCs/>
          <w:sz w:val="16"/>
          <w:szCs w:val="16"/>
        </w:rPr>
      </w:pPr>
      <w:r w:rsidRPr="00FD0A7A">
        <w:rPr>
          <w:rStyle w:val="Refdenotaalpie"/>
          <w:rFonts w:ascii="Tahoma" w:hAnsi="Tahoma" w:cs="Tahoma"/>
        </w:rPr>
        <w:footnoteRef/>
      </w:r>
      <w:r w:rsidRPr="00403BF9">
        <w:rPr>
          <w:rFonts w:ascii="Tahoma" w:hAnsi="Tahoma" w:cs="Tahoma"/>
          <w:sz w:val="16"/>
          <w:szCs w:val="16"/>
        </w:rPr>
        <w:t xml:space="preserve"> </w:t>
      </w:r>
      <w:r w:rsidRPr="00FD0A7A">
        <w:rPr>
          <w:rFonts w:ascii="Tahoma" w:hAnsi="Tahoma" w:cs="Tahoma"/>
          <w:b/>
          <w:bCs/>
          <w:sz w:val="16"/>
          <w:szCs w:val="16"/>
        </w:rPr>
        <w:t xml:space="preserve">Artículo </w:t>
      </w:r>
      <w:r>
        <w:rPr>
          <w:rFonts w:ascii="Tahoma" w:hAnsi="Tahoma" w:cs="Tahoma"/>
          <w:b/>
          <w:bCs/>
          <w:sz w:val="16"/>
          <w:szCs w:val="16"/>
        </w:rPr>
        <w:t>245.- Determinación gradual de la s</w:t>
      </w:r>
      <w:r w:rsidRPr="00FD0A7A">
        <w:rPr>
          <w:rFonts w:ascii="Tahoma" w:hAnsi="Tahoma" w:cs="Tahoma"/>
          <w:b/>
          <w:bCs/>
          <w:sz w:val="16"/>
          <w:szCs w:val="16"/>
        </w:rPr>
        <w:t>anción</w:t>
      </w:r>
    </w:p>
    <w:p w:rsidR="00180B0D" w:rsidRPr="00FD0A7A" w:rsidRDefault="00180B0D" w:rsidP="00180B0D">
      <w:pPr>
        <w:autoSpaceDE w:val="0"/>
        <w:autoSpaceDN w:val="0"/>
        <w:adjustRightInd w:val="0"/>
        <w:ind w:left="142"/>
        <w:jc w:val="both"/>
        <w:rPr>
          <w:rFonts w:ascii="Tahoma" w:hAnsi="Tahoma" w:cs="Tahoma"/>
          <w:sz w:val="16"/>
          <w:szCs w:val="16"/>
        </w:rPr>
      </w:pPr>
      <w:r w:rsidRPr="00FD0A7A">
        <w:rPr>
          <w:rFonts w:ascii="Tahoma" w:hAnsi="Tahoma" w:cs="Tahoma"/>
          <w:sz w:val="16"/>
          <w:szCs w:val="16"/>
        </w:rPr>
        <w:t xml:space="preserve">Para graduar la sanción </w:t>
      </w:r>
      <w:r>
        <w:rPr>
          <w:rFonts w:ascii="Tahoma" w:hAnsi="Tahoma" w:cs="Tahoma"/>
          <w:sz w:val="16"/>
          <w:szCs w:val="16"/>
        </w:rPr>
        <w:t xml:space="preserve">de inhabilitación temporal a imponerse, </w:t>
      </w:r>
      <w:r w:rsidRPr="00FD0A7A">
        <w:rPr>
          <w:rFonts w:ascii="Tahoma" w:hAnsi="Tahoma" w:cs="Tahoma"/>
          <w:sz w:val="16"/>
          <w:szCs w:val="16"/>
        </w:rPr>
        <w:t xml:space="preserve">conforme a las disposiciones del presente Título, </w:t>
      </w:r>
      <w:r>
        <w:rPr>
          <w:rFonts w:ascii="Tahoma" w:hAnsi="Tahoma" w:cs="Tahoma"/>
          <w:sz w:val="16"/>
          <w:szCs w:val="16"/>
        </w:rPr>
        <w:t xml:space="preserve">el Tribunal </w:t>
      </w:r>
      <w:r w:rsidRPr="00FD0A7A">
        <w:rPr>
          <w:rFonts w:ascii="Tahoma" w:hAnsi="Tahoma" w:cs="Tahoma"/>
          <w:sz w:val="16"/>
          <w:szCs w:val="16"/>
        </w:rPr>
        <w:t>considerará los siguientes criterios:</w:t>
      </w:r>
    </w:p>
    <w:p w:rsidR="00180B0D" w:rsidRPr="00FD0A7A" w:rsidRDefault="00180B0D" w:rsidP="00180B0D">
      <w:pPr>
        <w:autoSpaceDE w:val="0"/>
        <w:autoSpaceDN w:val="0"/>
        <w:adjustRightInd w:val="0"/>
        <w:ind w:left="142"/>
        <w:jc w:val="both"/>
        <w:rPr>
          <w:rFonts w:ascii="Tahoma" w:hAnsi="Tahoma" w:cs="Tahoma"/>
          <w:sz w:val="16"/>
          <w:szCs w:val="16"/>
        </w:rPr>
      </w:pPr>
      <w:r w:rsidRPr="00FD0A7A">
        <w:rPr>
          <w:rFonts w:ascii="Tahoma" w:hAnsi="Tahoma" w:cs="Tahoma"/>
          <w:sz w:val="16"/>
          <w:szCs w:val="16"/>
        </w:rPr>
        <w:t>1) Naturaleza de la infracción.</w:t>
      </w:r>
    </w:p>
    <w:p w:rsidR="00180B0D" w:rsidRPr="00FD0A7A" w:rsidRDefault="00180B0D" w:rsidP="00180B0D">
      <w:pPr>
        <w:autoSpaceDE w:val="0"/>
        <w:autoSpaceDN w:val="0"/>
        <w:adjustRightInd w:val="0"/>
        <w:ind w:left="142"/>
        <w:jc w:val="both"/>
        <w:rPr>
          <w:rFonts w:ascii="Tahoma" w:hAnsi="Tahoma" w:cs="Tahoma"/>
          <w:sz w:val="16"/>
          <w:szCs w:val="16"/>
        </w:rPr>
      </w:pPr>
      <w:r w:rsidRPr="00FD0A7A">
        <w:rPr>
          <w:rFonts w:ascii="Tahoma" w:hAnsi="Tahoma" w:cs="Tahoma"/>
          <w:sz w:val="16"/>
          <w:szCs w:val="16"/>
        </w:rPr>
        <w:t>2) Intencionalidad del infractor.</w:t>
      </w:r>
    </w:p>
    <w:p w:rsidR="00180B0D" w:rsidRPr="00FD0A7A" w:rsidRDefault="00180B0D" w:rsidP="00180B0D">
      <w:pPr>
        <w:autoSpaceDE w:val="0"/>
        <w:autoSpaceDN w:val="0"/>
        <w:adjustRightInd w:val="0"/>
        <w:ind w:left="142"/>
        <w:jc w:val="both"/>
        <w:rPr>
          <w:rFonts w:ascii="Tahoma" w:hAnsi="Tahoma" w:cs="Tahoma"/>
          <w:sz w:val="16"/>
          <w:szCs w:val="16"/>
        </w:rPr>
      </w:pPr>
      <w:r w:rsidRPr="00FD0A7A">
        <w:rPr>
          <w:rFonts w:ascii="Tahoma" w:hAnsi="Tahoma" w:cs="Tahoma"/>
          <w:sz w:val="16"/>
          <w:szCs w:val="16"/>
        </w:rPr>
        <w:t>3) Daño causado.</w:t>
      </w:r>
    </w:p>
    <w:p w:rsidR="00180B0D" w:rsidRPr="00FD0A7A" w:rsidRDefault="00180B0D" w:rsidP="00180B0D">
      <w:pPr>
        <w:autoSpaceDE w:val="0"/>
        <w:autoSpaceDN w:val="0"/>
        <w:adjustRightInd w:val="0"/>
        <w:ind w:left="142"/>
        <w:jc w:val="both"/>
        <w:rPr>
          <w:rFonts w:ascii="Tahoma" w:hAnsi="Tahoma" w:cs="Tahoma"/>
          <w:sz w:val="16"/>
          <w:szCs w:val="16"/>
        </w:rPr>
      </w:pPr>
      <w:r w:rsidRPr="00FD0A7A">
        <w:rPr>
          <w:rFonts w:ascii="Tahoma" w:hAnsi="Tahoma" w:cs="Tahoma"/>
          <w:sz w:val="16"/>
          <w:szCs w:val="16"/>
        </w:rPr>
        <w:t>4) Reiterancia.</w:t>
      </w:r>
    </w:p>
    <w:p w:rsidR="00180B0D" w:rsidRPr="00FD0A7A" w:rsidRDefault="00180B0D" w:rsidP="00180B0D">
      <w:pPr>
        <w:autoSpaceDE w:val="0"/>
        <w:autoSpaceDN w:val="0"/>
        <w:adjustRightInd w:val="0"/>
        <w:ind w:left="142"/>
        <w:jc w:val="both"/>
        <w:rPr>
          <w:rFonts w:ascii="Tahoma" w:hAnsi="Tahoma" w:cs="Tahoma"/>
          <w:sz w:val="16"/>
          <w:szCs w:val="16"/>
        </w:rPr>
      </w:pPr>
      <w:r w:rsidRPr="00FD0A7A">
        <w:rPr>
          <w:rFonts w:ascii="Tahoma" w:hAnsi="Tahoma" w:cs="Tahoma"/>
          <w:sz w:val="16"/>
          <w:szCs w:val="16"/>
        </w:rPr>
        <w:t>5) El reconocimiento de la infracción cometida antes de que sea detectada.</w:t>
      </w:r>
    </w:p>
    <w:p w:rsidR="00180B0D" w:rsidRPr="00FD0A7A" w:rsidRDefault="00180B0D" w:rsidP="00180B0D">
      <w:pPr>
        <w:autoSpaceDE w:val="0"/>
        <w:autoSpaceDN w:val="0"/>
        <w:adjustRightInd w:val="0"/>
        <w:ind w:left="142"/>
        <w:jc w:val="both"/>
        <w:rPr>
          <w:rFonts w:ascii="Tahoma" w:hAnsi="Tahoma" w:cs="Tahoma"/>
          <w:sz w:val="16"/>
          <w:szCs w:val="16"/>
        </w:rPr>
      </w:pPr>
      <w:r w:rsidRPr="00FD0A7A">
        <w:rPr>
          <w:rFonts w:ascii="Tahoma" w:hAnsi="Tahoma" w:cs="Tahoma"/>
          <w:sz w:val="16"/>
          <w:szCs w:val="16"/>
        </w:rPr>
        <w:t>6) Circunstancias de tiempo, lugar y modo.</w:t>
      </w:r>
    </w:p>
    <w:p w:rsidR="00180B0D" w:rsidRPr="00FD0A7A" w:rsidRDefault="00180B0D" w:rsidP="00180B0D">
      <w:pPr>
        <w:autoSpaceDE w:val="0"/>
        <w:autoSpaceDN w:val="0"/>
        <w:adjustRightInd w:val="0"/>
        <w:ind w:left="142"/>
        <w:jc w:val="both"/>
        <w:rPr>
          <w:rFonts w:ascii="Tahoma" w:hAnsi="Tahoma" w:cs="Tahoma"/>
          <w:sz w:val="16"/>
          <w:szCs w:val="16"/>
        </w:rPr>
      </w:pPr>
      <w:r w:rsidRPr="00FD0A7A">
        <w:rPr>
          <w:rFonts w:ascii="Tahoma" w:hAnsi="Tahoma" w:cs="Tahoma"/>
          <w:sz w:val="16"/>
          <w:szCs w:val="16"/>
        </w:rPr>
        <w:t>7) Condiciones del infractor.</w:t>
      </w:r>
    </w:p>
    <w:p w:rsidR="00180B0D" w:rsidRPr="000D1223" w:rsidRDefault="00180B0D" w:rsidP="00180B0D">
      <w:pPr>
        <w:autoSpaceDE w:val="0"/>
        <w:autoSpaceDN w:val="0"/>
        <w:adjustRightInd w:val="0"/>
        <w:ind w:left="142"/>
        <w:jc w:val="both"/>
      </w:pPr>
      <w:r w:rsidRPr="00FD0A7A">
        <w:rPr>
          <w:rFonts w:ascii="Tahoma" w:hAnsi="Tahoma" w:cs="Tahoma"/>
          <w:sz w:val="16"/>
          <w:szCs w:val="16"/>
        </w:rPr>
        <w:t>8) Conducta procesal del infractor.</w:t>
      </w:r>
    </w:p>
  </w:footnote>
  <w:footnote w:id="6">
    <w:p w:rsidR="00180B0D" w:rsidRPr="000A2FDE" w:rsidRDefault="00180B0D" w:rsidP="00180B0D">
      <w:pPr>
        <w:pStyle w:val="Encabezado"/>
        <w:tabs>
          <w:tab w:val="center" w:pos="4393"/>
        </w:tabs>
        <w:ind w:left="142" w:hanging="142"/>
        <w:jc w:val="both"/>
        <w:rPr>
          <w:rFonts w:ascii="Tahoma" w:hAnsi="Tahoma" w:cs="Tahoma"/>
          <w:b/>
          <w:i/>
          <w:sz w:val="16"/>
          <w:szCs w:val="16"/>
        </w:rPr>
      </w:pPr>
      <w:r w:rsidRPr="004A0987">
        <w:rPr>
          <w:rStyle w:val="Refdenotaalpie"/>
          <w:rFonts w:ascii="Tahoma" w:hAnsi="Tahoma" w:cs="Tahoma"/>
        </w:rPr>
        <w:footnoteRef/>
      </w:r>
      <w:r w:rsidRPr="00DA7DE8">
        <w:t xml:space="preserve"> </w:t>
      </w:r>
      <w:r w:rsidRPr="000A2FDE">
        <w:rPr>
          <w:rFonts w:ascii="Tahoma" w:hAnsi="Tahoma" w:cs="Tahoma"/>
          <w:b/>
          <w:i/>
          <w:sz w:val="16"/>
          <w:szCs w:val="16"/>
        </w:rPr>
        <w:t>Artículo 427.- Falsificación de documentos</w:t>
      </w:r>
    </w:p>
    <w:p w:rsidR="00180B0D" w:rsidRPr="000A2FDE" w:rsidRDefault="00180B0D" w:rsidP="00180B0D">
      <w:pPr>
        <w:pStyle w:val="Encabezado"/>
        <w:tabs>
          <w:tab w:val="center" w:pos="4393"/>
        </w:tabs>
        <w:ind w:left="142"/>
        <w:jc w:val="both"/>
        <w:rPr>
          <w:rFonts w:ascii="Tahoma" w:hAnsi="Tahoma" w:cs="Tahoma"/>
          <w:i/>
          <w:sz w:val="16"/>
          <w:szCs w:val="16"/>
        </w:rPr>
      </w:pPr>
      <w:r w:rsidRPr="000A2FDE">
        <w:rPr>
          <w:rFonts w:ascii="Tahoma" w:hAnsi="Tahoma" w:cs="Tahoma"/>
          <w:i/>
          <w:sz w:val="16"/>
          <w:szCs w:val="16"/>
        </w:rPr>
        <w:t>El que hace, en todo o en parte, un documento falso o adultera uno verdadero que pueda dar origen a derecho u obligación o servir para probar un hecho, con el propósito de utilizar el documento, será reprimido, si de su uso puede resultar algún perjuicio, con pena privativa de libertad no menor de dos ni mayor de diez años y con treinta a noventa</w:t>
      </w:r>
      <w:r w:rsidRPr="006F1A03">
        <w:rPr>
          <w:rFonts w:ascii="Tahoma" w:hAnsi="Tahoma" w:cs="Tahoma"/>
          <w:sz w:val="16"/>
          <w:szCs w:val="16"/>
        </w:rPr>
        <w:t xml:space="preserve"> </w:t>
      </w:r>
      <w:r w:rsidRPr="000A2FDE">
        <w:rPr>
          <w:rFonts w:ascii="Tahoma" w:hAnsi="Tahoma" w:cs="Tahoma"/>
          <w:i/>
          <w:sz w:val="16"/>
          <w:szCs w:val="16"/>
        </w:rPr>
        <w:t>días-multa si se trata de un documento público, registro público, título auténtico o cualquier otro trasmisible por endoso o al portador y con pena privativa de libertad no menor de dos ni mayor de cuatro años, y con ciento ochenta a trescientos sesenticinco días-multa, si se trata de un documento privado.</w:t>
      </w:r>
    </w:p>
    <w:p w:rsidR="00180B0D" w:rsidRDefault="00180B0D" w:rsidP="00180B0D">
      <w:pPr>
        <w:pStyle w:val="Encabezado"/>
        <w:tabs>
          <w:tab w:val="clear" w:pos="4252"/>
          <w:tab w:val="clear" w:pos="8504"/>
          <w:tab w:val="center" w:pos="4393"/>
        </w:tabs>
        <w:ind w:left="142"/>
        <w:jc w:val="both"/>
        <w:rPr>
          <w:rFonts w:ascii="Tahoma" w:hAnsi="Tahoma" w:cs="Tahoma"/>
          <w:i/>
          <w:sz w:val="16"/>
          <w:szCs w:val="16"/>
        </w:rPr>
      </w:pPr>
      <w:r w:rsidRPr="000A2FDE">
        <w:rPr>
          <w:rFonts w:ascii="Tahoma" w:hAnsi="Tahoma" w:cs="Tahoma"/>
          <w:i/>
          <w:sz w:val="16"/>
          <w:szCs w:val="16"/>
        </w:rPr>
        <w:t>El que hace uso de un documento falso o falsificado, como si fuese legítimo, siempre que de su uso pueda resultar algún perjuicio, será reprimido, en su caso, con las mismas penas.</w:t>
      </w:r>
    </w:p>
    <w:p w:rsidR="00180B0D" w:rsidRPr="000A2FDE" w:rsidRDefault="00180B0D" w:rsidP="00180B0D">
      <w:pPr>
        <w:pStyle w:val="Encabezado"/>
        <w:tabs>
          <w:tab w:val="clear" w:pos="4252"/>
          <w:tab w:val="clear" w:pos="8504"/>
          <w:tab w:val="center" w:pos="4393"/>
        </w:tabs>
        <w:ind w:left="142"/>
        <w:jc w:val="both"/>
        <w:rPr>
          <w:rFonts w:ascii="Tahoma" w:hAnsi="Tahoma" w:cs="Tahoma"/>
          <w:i/>
          <w:sz w:val="16"/>
          <w:szCs w:val="16"/>
        </w:rPr>
      </w:pPr>
    </w:p>
  </w:footnote>
  <w:footnote w:id="7">
    <w:p w:rsidR="00180B0D" w:rsidRDefault="00180B0D" w:rsidP="00180B0D">
      <w:pPr>
        <w:pStyle w:val="Textonotapie"/>
        <w:jc w:val="both"/>
        <w:rPr>
          <w:rFonts w:ascii="Tahoma" w:hAnsi="Tahoma" w:cs="Tahoma"/>
          <w:sz w:val="16"/>
          <w:szCs w:val="16"/>
        </w:rPr>
      </w:pPr>
      <w:r w:rsidRPr="002C7828">
        <w:rPr>
          <w:rStyle w:val="Refdenotaalpie"/>
          <w:rFonts w:ascii="Tahoma" w:hAnsi="Tahoma" w:cs="Tahoma"/>
        </w:rPr>
        <w:footnoteRef/>
      </w:r>
      <w:r>
        <w:t xml:space="preserve"> </w:t>
      </w:r>
      <w:r w:rsidRPr="002C7828">
        <w:rPr>
          <w:rFonts w:ascii="Tahoma" w:hAnsi="Tahoma" w:cs="Tahoma"/>
          <w:sz w:val="16"/>
          <w:szCs w:val="16"/>
        </w:rPr>
        <w:t>Sobre el particular, según lo dispuesto en el numeral 9) del artículo 18 del Reglamento de Organización y Funciones-ROF del Organismo Supervisor de las Contrataciones del Estado, aprobado mediante Decreto Supremo Nº 006-2009-EF, es función de Tribunal de Contrataciones del Estado: “</w:t>
      </w:r>
      <w:r w:rsidRPr="00385AFD">
        <w:rPr>
          <w:rFonts w:ascii="Tahoma" w:hAnsi="Tahoma" w:cs="Tahoma"/>
          <w:i/>
          <w:sz w:val="16"/>
          <w:szCs w:val="16"/>
        </w:rPr>
        <w:t>Poner en conocimiento del Ministerio Público, los casos en que detecte indicios de ilícitos penales cometidos por los empleados públicos o personas que presten servicios en las Entidades en el ejercicio de sus funciones, participantes, postores, proveedores, contratistas o expertos independientes, según sea el caso</w:t>
      </w:r>
      <w:r w:rsidRPr="002C7828">
        <w:rPr>
          <w:rFonts w:ascii="Tahoma" w:hAnsi="Tahoma" w:cs="Tahoma"/>
          <w:sz w:val="16"/>
          <w:szCs w:val="16"/>
        </w:rPr>
        <w:t>.”</w:t>
      </w:r>
    </w:p>
    <w:p w:rsidR="00180B0D" w:rsidRPr="00AB219D" w:rsidRDefault="00180B0D" w:rsidP="00180B0D">
      <w:pPr>
        <w:pStyle w:val="Textonotapie"/>
        <w:jc w:val="both"/>
        <w:rPr>
          <w:rFonts w:ascii="Tahoma" w:hAnsi="Tahoma" w:cs="Tahoma"/>
          <w:sz w:val="18"/>
          <w:szCs w:val="18"/>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730" w:rsidRDefault="00D84730" w:rsidP="00D84730">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D84730" w:rsidRDefault="00D84730" w:rsidP="00D84730">
    <w:pPr>
      <w:pStyle w:val="Encabezado"/>
      <w:rPr>
        <w:noProof/>
      </w:rPr>
    </w:pPr>
  </w:p>
  <w:p w:rsidR="00D84730" w:rsidRDefault="00D84730" w:rsidP="00D84730">
    <w:pPr>
      <w:pStyle w:val="Encabezado"/>
      <w:rPr>
        <w:noProof/>
      </w:rPr>
    </w:pPr>
  </w:p>
  <w:p w:rsidR="00D84730" w:rsidRDefault="00D84730" w:rsidP="00D84730">
    <w:pPr>
      <w:pStyle w:val="Encabezado"/>
      <w:rPr>
        <w:noProof/>
      </w:rPr>
    </w:pPr>
  </w:p>
  <w:p w:rsidR="00D84730" w:rsidRDefault="00D84730" w:rsidP="00D84730">
    <w:pPr>
      <w:pStyle w:val="Encabezado"/>
      <w:jc w:val="center"/>
    </w:pPr>
    <w:r>
      <w:rPr>
        <w:rFonts w:ascii="Monotype Corsiva" w:hAnsi="Monotype Corsiva"/>
        <w:b/>
        <w:sz w:val="44"/>
        <w:szCs w:val="44"/>
      </w:rPr>
      <w:t xml:space="preserve">Resolución Nº   </w:t>
    </w:r>
    <w:r>
      <w:rPr>
        <w:rFonts w:ascii="Tahoma" w:hAnsi="Tahoma" w:cs="Tahoma"/>
        <w:b/>
        <w:sz w:val="44"/>
        <w:szCs w:val="44"/>
      </w:rPr>
      <w:t>718-2011-TC-S1</w:t>
    </w:r>
  </w:p>
  <w:p w:rsidR="00D84730" w:rsidRDefault="00D84730">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654C9E"/>
    <w:multiLevelType w:val="hybridMultilevel"/>
    <w:tmpl w:val="83FE3EE4"/>
    <w:lvl w:ilvl="0" w:tplc="FCC0F134">
      <w:start w:val="1"/>
      <w:numFmt w:val="decimal"/>
      <w:lvlText w:val="%1."/>
      <w:lvlJc w:val="left"/>
      <w:pPr>
        <w:tabs>
          <w:tab w:val="num" w:pos="360"/>
        </w:tabs>
        <w:ind w:left="360" w:hanging="360"/>
      </w:pPr>
      <w:rPr>
        <w:rFonts w:ascii="Tahoma" w:hAnsi="Tahoma" w:hint="default"/>
        <w:b/>
        <w:i w:val="0"/>
        <w:sz w:val="22"/>
        <w:szCs w:val="22"/>
      </w:rPr>
    </w:lvl>
    <w:lvl w:ilvl="1" w:tplc="0C0A0019" w:tentative="1">
      <w:start w:val="1"/>
      <w:numFmt w:val="lowerLetter"/>
      <w:lvlText w:val="%2."/>
      <w:lvlJc w:val="left"/>
      <w:pPr>
        <w:tabs>
          <w:tab w:val="num" w:pos="360"/>
        </w:tabs>
        <w:ind w:left="360" w:hanging="360"/>
      </w:pPr>
    </w:lvl>
    <w:lvl w:ilvl="2" w:tplc="0C0A001B" w:tentative="1">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1">
    <w:nsid w:val="1A990814"/>
    <w:multiLevelType w:val="hybridMultilevel"/>
    <w:tmpl w:val="2F4E0EB0"/>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
    <w:nsid w:val="292E7221"/>
    <w:multiLevelType w:val="hybridMultilevel"/>
    <w:tmpl w:val="F78AF1A2"/>
    <w:lvl w:ilvl="0" w:tplc="57049ED8">
      <w:start w:val="1"/>
      <w:numFmt w:val="decimal"/>
      <w:lvlText w:val="%1."/>
      <w:lvlJc w:val="left"/>
      <w:pPr>
        <w:tabs>
          <w:tab w:val="num" w:pos="360"/>
        </w:tabs>
        <w:ind w:left="360" w:hanging="360"/>
      </w:pPr>
      <w:rPr>
        <w:rFonts w:ascii="Tahoma" w:hAnsi="Tahoma" w:cs="Tahoma" w:hint="default"/>
        <w:b/>
        <w:i w:val="0"/>
      </w:rPr>
    </w:lvl>
    <w:lvl w:ilvl="1" w:tplc="0C0A0019">
      <w:start w:val="1"/>
      <w:numFmt w:val="lowerLetter"/>
      <w:lvlText w:val="%2."/>
      <w:lvlJc w:val="left"/>
      <w:pPr>
        <w:tabs>
          <w:tab w:val="num" w:pos="720"/>
        </w:tabs>
        <w:ind w:left="720" w:hanging="360"/>
      </w:pPr>
    </w:lvl>
    <w:lvl w:ilvl="2" w:tplc="0C0A001B">
      <w:start w:val="1"/>
      <w:numFmt w:val="decimal"/>
      <w:lvlText w:val="%3."/>
      <w:lvlJc w:val="left"/>
      <w:pPr>
        <w:tabs>
          <w:tab w:val="num" w:pos="1800"/>
        </w:tabs>
        <w:ind w:left="1800" w:hanging="360"/>
      </w:pPr>
    </w:lvl>
    <w:lvl w:ilvl="3" w:tplc="0C0A000F">
      <w:start w:val="1"/>
      <w:numFmt w:val="decimal"/>
      <w:lvlText w:val="%4."/>
      <w:lvlJc w:val="left"/>
      <w:pPr>
        <w:tabs>
          <w:tab w:val="num" w:pos="2520"/>
        </w:tabs>
        <w:ind w:left="2520" w:hanging="360"/>
      </w:pPr>
    </w:lvl>
    <w:lvl w:ilvl="4" w:tplc="0C0A0019">
      <w:start w:val="1"/>
      <w:numFmt w:val="decimal"/>
      <w:lvlText w:val="%5."/>
      <w:lvlJc w:val="left"/>
      <w:pPr>
        <w:tabs>
          <w:tab w:val="num" w:pos="3240"/>
        </w:tabs>
        <w:ind w:left="3240" w:hanging="360"/>
      </w:pPr>
    </w:lvl>
    <w:lvl w:ilvl="5" w:tplc="0C0A001B">
      <w:start w:val="1"/>
      <w:numFmt w:val="decimal"/>
      <w:lvlText w:val="%6."/>
      <w:lvlJc w:val="left"/>
      <w:pPr>
        <w:tabs>
          <w:tab w:val="num" w:pos="3960"/>
        </w:tabs>
        <w:ind w:left="3960" w:hanging="360"/>
      </w:pPr>
    </w:lvl>
    <w:lvl w:ilvl="6" w:tplc="0C0A000F">
      <w:start w:val="1"/>
      <w:numFmt w:val="decimal"/>
      <w:lvlText w:val="%7."/>
      <w:lvlJc w:val="left"/>
      <w:pPr>
        <w:tabs>
          <w:tab w:val="num" w:pos="4680"/>
        </w:tabs>
        <w:ind w:left="4680" w:hanging="360"/>
      </w:pPr>
    </w:lvl>
    <w:lvl w:ilvl="7" w:tplc="0C0A0019">
      <w:start w:val="1"/>
      <w:numFmt w:val="decimal"/>
      <w:lvlText w:val="%8."/>
      <w:lvlJc w:val="left"/>
      <w:pPr>
        <w:tabs>
          <w:tab w:val="num" w:pos="5400"/>
        </w:tabs>
        <w:ind w:left="5400" w:hanging="360"/>
      </w:pPr>
    </w:lvl>
    <w:lvl w:ilvl="8" w:tplc="0C0A001B">
      <w:start w:val="1"/>
      <w:numFmt w:val="decimal"/>
      <w:lvlText w:val="%9."/>
      <w:lvlJc w:val="left"/>
      <w:pPr>
        <w:tabs>
          <w:tab w:val="num" w:pos="6120"/>
        </w:tabs>
        <w:ind w:left="6120" w:hanging="360"/>
      </w:pPr>
    </w:lvl>
  </w:abstractNum>
  <w:abstractNum w:abstractNumId="3">
    <w:nsid w:val="32466705"/>
    <w:multiLevelType w:val="multilevel"/>
    <w:tmpl w:val="05D03E78"/>
    <w:lvl w:ilvl="0">
      <w:start w:val="1"/>
      <w:numFmt w:val="decimal"/>
      <w:lvlText w:val="%1."/>
      <w:lvlJc w:val="left"/>
      <w:pPr>
        <w:tabs>
          <w:tab w:val="num" w:pos="720"/>
        </w:tabs>
        <w:ind w:left="720" w:hanging="360"/>
      </w:pPr>
      <w:rPr>
        <w:b/>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28601FD"/>
    <w:multiLevelType w:val="hybridMultilevel"/>
    <w:tmpl w:val="30AEF836"/>
    <w:lvl w:ilvl="0" w:tplc="F2CACB36">
      <w:start w:val="1"/>
      <w:numFmt w:val="decimal"/>
      <w:lvlText w:val="%1."/>
      <w:lvlJc w:val="left"/>
      <w:pPr>
        <w:ind w:left="720" w:hanging="360"/>
      </w:pPr>
      <w:rPr>
        <w:rFonts w:ascii="Tahoma" w:hAnsi="Tahoma" w:cs="Tahoma" w:hint="default"/>
        <w:b/>
        <w:i w:val="0"/>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43E31A78"/>
    <w:multiLevelType w:val="hybridMultilevel"/>
    <w:tmpl w:val="5BE28302"/>
    <w:lvl w:ilvl="0" w:tplc="0C0A000F">
      <w:start w:val="1"/>
      <w:numFmt w:val="decimal"/>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6">
    <w:nsid w:val="4DC96DE1"/>
    <w:multiLevelType w:val="hybridMultilevel"/>
    <w:tmpl w:val="9FB68D96"/>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509114FD"/>
    <w:multiLevelType w:val="hybridMultilevel"/>
    <w:tmpl w:val="5BE28302"/>
    <w:lvl w:ilvl="0" w:tplc="0C0A000F">
      <w:start w:val="1"/>
      <w:numFmt w:val="decimal"/>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8">
    <w:nsid w:val="54657FBB"/>
    <w:multiLevelType w:val="hybridMultilevel"/>
    <w:tmpl w:val="2EC008DC"/>
    <w:lvl w:ilvl="0" w:tplc="1C740242">
      <w:start w:val="1"/>
      <w:numFmt w:val="decimal"/>
      <w:lvlText w:val="%1."/>
      <w:lvlJc w:val="left"/>
      <w:pPr>
        <w:ind w:left="502" w:hanging="360"/>
      </w:pPr>
      <w:rPr>
        <w:rFonts w:ascii="Tahoma" w:hAnsi="Tahoma" w:cs="Tahoma" w:hint="default"/>
        <w:b/>
        <w:i w:val="0"/>
        <w:sz w:val="21"/>
        <w:szCs w:val="21"/>
        <w:lang w:val="es-P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72352AB3"/>
    <w:multiLevelType w:val="hybridMultilevel"/>
    <w:tmpl w:val="3F1808D4"/>
    <w:lvl w:ilvl="0" w:tplc="FF70F224">
      <w:start w:val="1"/>
      <w:numFmt w:val="decimal"/>
      <w:lvlText w:val="%1."/>
      <w:lvlJc w:val="left"/>
      <w:pPr>
        <w:tabs>
          <w:tab w:val="num" w:pos="360"/>
        </w:tabs>
        <w:ind w:left="360" w:hanging="360"/>
      </w:pPr>
      <w:rPr>
        <w:rFonts w:ascii="Tahoma" w:hAnsi="Tahoma" w:cs="Tahoma" w:hint="default"/>
        <w:b/>
        <w:sz w:val="20"/>
        <w:szCs w:val="20"/>
      </w:rPr>
    </w:lvl>
    <w:lvl w:ilvl="1" w:tplc="6092304C">
      <w:start w:val="1"/>
      <w:numFmt w:val="lowerRoman"/>
      <w:lvlText w:val="(%2)"/>
      <w:lvlJc w:val="left"/>
      <w:pPr>
        <w:tabs>
          <w:tab w:val="num" w:pos="1260"/>
        </w:tabs>
        <w:ind w:left="1260" w:hanging="720"/>
      </w:pPr>
      <w:rPr>
        <w:rFonts w:ascii="Tahoma" w:hAnsi="Tahoma" w:cs="Tahoma" w:hint="default"/>
        <w:b/>
        <w:sz w:val="20"/>
        <w:szCs w:val="20"/>
      </w:rPr>
    </w:lvl>
    <w:lvl w:ilvl="2" w:tplc="823A8032">
      <w:start w:val="20"/>
      <w:numFmt w:val="bullet"/>
      <w:lvlText w:val="-"/>
      <w:lvlJc w:val="left"/>
      <w:pPr>
        <w:tabs>
          <w:tab w:val="num" w:pos="1620"/>
        </w:tabs>
        <w:ind w:left="1620" w:hanging="180"/>
      </w:pPr>
      <w:rPr>
        <w:rFonts w:ascii="Bookman Old Style" w:eastAsia="Times New Roman" w:hAnsi="Bookman Old Style" w:cs="Times New Roman" w:hint="default"/>
        <w:sz w:val="23"/>
      </w:rPr>
    </w:lvl>
    <w:lvl w:ilvl="3" w:tplc="517683DE">
      <w:start w:val="1"/>
      <w:numFmt w:val="decimal"/>
      <w:lvlText w:val="%4."/>
      <w:lvlJc w:val="left"/>
      <w:pPr>
        <w:tabs>
          <w:tab w:val="num" w:pos="2340"/>
        </w:tabs>
        <w:ind w:left="2340" w:hanging="360"/>
      </w:pPr>
      <w:rPr>
        <w:b/>
      </w:rPr>
    </w:lvl>
    <w:lvl w:ilvl="4" w:tplc="823A8032">
      <w:start w:val="20"/>
      <w:numFmt w:val="bullet"/>
      <w:lvlText w:val="-"/>
      <w:lvlJc w:val="left"/>
      <w:pPr>
        <w:ind w:left="3060" w:hanging="360"/>
      </w:pPr>
      <w:rPr>
        <w:rFonts w:ascii="Bookman Old Style" w:eastAsia="Times New Roman" w:hAnsi="Bookman Old Style" w:cs="Times New Roman" w:hint="default"/>
        <w:sz w:val="23"/>
      </w:rPr>
    </w:lvl>
    <w:lvl w:ilvl="5" w:tplc="0C0A001B">
      <w:start w:val="1"/>
      <w:numFmt w:val="lowerRoman"/>
      <w:lvlText w:val="%6."/>
      <w:lvlJc w:val="right"/>
      <w:pPr>
        <w:tabs>
          <w:tab w:val="num" w:pos="3780"/>
        </w:tabs>
        <w:ind w:left="3780" w:hanging="180"/>
      </w:pPr>
    </w:lvl>
    <w:lvl w:ilvl="6" w:tplc="0C0A000F" w:tentative="1">
      <w:start w:val="1"/>
      <w:numFmt w:val="decimal"/>
      <w:lvlText w:val="%7."/>
      <w:lvlJc w:val="left"/>
      <w:pPr>
        <w:tabs>
          <w:tab w:val="num" w:pos="4500"/>
        </w:tabs>
        <w:ind w:left="4500" w:hanging="360"/>
      </w:pPr>
    </w:lvl>
    <w:lvl w:ilvl="7" w:tplc="0C0A0019" w:tentative="1">
      <w:start w:val="1"/>
      <w:numFmt w:val="lowerLetter"/>
      <w:lvlText w:val="%8."/>
      <w:lvlJc w:val="left"/>
      <w:pPr>
        <w:tabs>
          <w:tab w:val="num" w:pos="5220"/>
        </w:tabs>
        <w:ind w:left="5220" w:hanging="360"/>
      </w:pPr>
    </w:lvl>
    <w:lvl w:ilvl="8" w:tplc="0C0A001B" w:tentative="1">
      <w:start w:val="1"/>
      <w:numFmt w:val="lowerRoman"/>
      <w:lvlText w:val="%9."/>
      <w:lvlJc w:val="right"/>
      <w:pPr>
        <w:tabs>
          <w:tab w:val="num" w:pos="5940"/>
        </w:tabs>
        <w:ind w:left="5940" w:hanging="180"/>
      </w:pPr>
    </w:lvl>
  </w:abstractNum>
  <w:num w:numId="1">
    <w:abstractNumId w:val="6"/>
  </w:num>
  <w:num w:numId="2">
    <w:abstractNumId w:val="9"/>
  </w:num>
  <w:num w:numId="3">
    <w:abstractNumId w:val="2"/>
  </w:num>
  <w:num w:numId="4">
    <w:abstractNumId w:val="3"/>
  </w:num>
  <w:num w:numId="5">
    <w:abstractNumId w:val="4"/>
  </w:num>
  <w:num w:numId="6">
    <w:abstractNumId w:val="5"/>
  </w:num>
  <w:num w:numId="7">
    <w:abstractNumId w:val="1"/>
  </w:num>
  <w:num w:numId="8">
    <w:abstractNumId w:val="8"/>
  </w:num>
  <w:num w:numId="9">
    <w:abstractNumId w:val="7"/>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180B0D"/>
    <w:rsid w:val="00180B0D"/>
    <w:rsid w:val="00282B39"/>
    <w:rsid w:val="00383E91"/>
    <w:rsid w:val="005B736A"/>
    <w:rsid w:val="005F0E2E"/>
    <w:rsid w:val="008F257D"/>
    <w:rsid w:val="009042C5"/>
    <w:rsid w:val="00A37C5D"/>
    <w:rsid w:val="00D84730"/>
    <w:rsid w:val="00F53842"/>
    <w:rsid w:val="00FC58F4"/>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B0D"/>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180B0D"/>
    <w:pPr>
      <w:spacing w:after="120"/>
    </w:pPr>
    <w:rPr>
      <w:sz w:val="16"/>
      <w:szCs w:val="16"/>
      <w:lang w:val="es-PE"/>
    </w:rPr>
  </w:style>
  <w:style w:type="character" w:customStyle="1" w:styleId="Textoindependiente3Car">
    <w:name w:val="Texto independiente 3 Car"/>
    <w:basedOn w:val="Fuentedeprrafopredeter"/>
    <w:link w:val="Textoindependiente3"/>
    <w:rsid w:val="00180B0D"/>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180B0D"/>
    <w:pPr>
      <w:jc w:val="both"/>
    </w:pPr>
    <w:rPr>
      <w:rFonts w:ascii="Tahoma" w:hAnsi="Tahoma"/>
      <w:sz w:val="22"/>
      <w:szCs w:val="20"/>
    </w:rPr>
  </w:style>
  <w:style w:type="paragraph" w:styleId="Prrafodelista">
    <w:name w:val="List Paragraph"/>
    <w:basedOn w:val="Normal"/>
    <w:qFormat/>
    <w:rsid w:val="00180B0D"/>
    <w:pPr>
      <w:widowControl w:val="0"/>
      <w:suppressAutoHyphens/>
      <w:ind w:left="708"/>
    </w:pPr>
    <w:rPr>
      <w:szCs w:val="20"/>
      <w:lang w:val="es-ES_tradnl"/>
    </w:rPr>
  </w:style>
  <w:style w:type="paragraph" w:styleId="Textonotapie">
    <w:name w:val="footnote text"/>
    <w:aliases w:val="Car,Car Car Car,Car4, Car,Car Car1,Texto nota pie1,Texto independiente1, Car4,Body Text,Texto independiente11, Car1 Car,Car1 Car, Car2 Car Car Car Car Car, Car2 Car Car, Car2 Car Car Car Car Car Car, Car2 Car1 Car, Car Car Car, Car2 Car"/>
    <w:basedOn w:val="Normal"/>
    <w:link w:val="TextonotapieCar"/>
    <w:rsid w:val="00180B0D"/>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 Car1 Car Car,Car1 Car Car, Car2 Car Car Car Car Car Car1, Car2 Car Car Car"/>
    <w:basedOn w:val="Fuentedeprrafopredeter"/>
    <w:link w:val="Textonotapie"/>
    <w:rsid w:val="00180B0D"/>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180B0D"/>
    <w:rPr>
      <w:rFonts w:cs="Times New Roman"/>
      <w:vertAlign w:val="superscript"/>
    </w:rPr>
  </w:style>
  <w:style w:type="paragraph" w:styleId="NormalWeb">
    <w:name w:val="Normal (Web)"/>
    <w:basedOn w:val="Normal"/>
    <w:rsid w:val="00180B0D"/>
    <w:pPr>
      <w:spacing w:before="100" w:beforeAutospacing="1" w:after="100" w:afterAutospacing="1"/>
    </w:pPr>
  </w:style>
  <w:style w:type="paragraph" w:styleId="Encabezado">
    <w:name w:val="header"/>
    <w:aliases w:val="maria,h"/>
    <w:basedOn w:val="Normal"/>
    <w:link w:val="EncabezadoCar"/>
    <w:uiPriority w:val="99"/>
    <w:unhideWhenUsed/>
    <w:rsid w:val="00180B0D"/>
    <w:pPr>
      <w:tabs>
        <w:tab w:val="center" w:pos="4252"/>
        <w:tab w:val="right" w:pos="8504"/>
      </w:tabs>
    </w:pPr>
  </w:style>
  <w:style w:type="character" w:customStyle="1" w:styleId="EncabezadoCar">
    <w:name w:val="Encabezado Car"/>
    <w:aliases w:val="maria Car,h Car"/>
    <w:basedOn w:val="Fuentedeprrafopredeter"/>
    <w:link w:val="Encabezado"/>
    <w:uiPriority w:val="99"/>
    <w:rsid w:val="00180B0D"/>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F257D"/>
    <w:pPr>
      <w:tabs>
        <w:tab w:val="center" w:pos="4252"/>
        <w:tab w:val="right" w:pos="8504"/>
      </w:tabs>
    </w:pPr>
  </w:style>
  <w:style w:type="character" w:customStyle="1" w:styleId="PiedepginaCar">
    <w:name w:val="Pie de página Car"/>
    <w:basedOn w:val="Fuentedeprrafopredeter"/>
    <w:link w:val="Piedepgina"/>
    <w:uiPriority w:val="99"/>
    <w:rsid w:val="008F257D"/>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137666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8</Pages>
  <Words>2457</Words>
  <Characters>13516</Characters>
  <Application>Microsoft Office Word</Application>
  <DocSecurity>0</DocSecurity>
  <Lines>112</Lines>
  <Paragraphs>31</Paragraphs>
  <ScaleCrop>false</ScaleCrop>
  <Company/>
  <LinksUpToDate>false</LinksUpToDate>
  <CharactersWithSpaces>15942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jtorrico</dc:creator>
  <cp:keywords/>
  <dc:description/>
  <cp:lastModifiedBy>bcaceres</cp:lastModifiedBy>
  <cp:revision>5</cp:revision>
  <cp:lastPrinted>2011-04-27T16:03:00Z</cp:lastPrinted>
  <dcterms:created xsi:type="dcterms:W3CDTF">2011-04-27T15:55:00Z</dcterms:created>
  <dcterms:modified xsi:type="dcterms:W3CDTF">2011-05-12T21:09:00Z</dcterms:modified>
</cp:coreProperties>
</file>